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B084B" w14:textId="77777777" w:rsidR="004123DA" w:rsidRDefault="004123DA" w:rsidP="004123DA">
      <w:pPr>
        <w:spacing w:after="0" w:line="480" w:lineRule="auto"/>
        <w:contextualSpacing/>
        <w:jc w:val="center"/>
        <w:rPr>
          <w:rFonts w:ascii="Times New Roman" w:hAnsi="Times New Roman" w:cs="Times New Roman"/>
          <w:sz w:val="24"/>
          <w:szCs w:val="24"/>
        </w:rPr>
      </w:pPr>
    </w:p>
    <w:p w14:paraId="10FA91FF" w14:textId="77777777" w:rsidR="004123DA" w:rsidRDefault="004123DA" w:rsidP="004123DA">
      <w:pPr>
        <w:spacing w:after="0" w:line="480" w:lineRule="auto"/>
        <w:contextualSpacing/>
        <w:jc w:val="center"/>
        <w:rPr>
          <w:rFonts w:ascii="Times New Roman" w:hAnsi="Times New Roman" w:cs="Times New Roman"/>
          <w:sz w:val="24"/>
          <w:szCs w:val="24"/>
        </w:rPr>
      </w:pPr>
    </w:p>
    <w:p w14:paraId="0E486BDD" w14:textId="77777777" w:rsidR="004123DA" w:rsidRDefault="004123DA" w:rsidP="004123DA">
      <w:pPr>
        <w:spacing w:after="0" w:line="480" w:lineRule="auto"/>
        <w:contextualSpacing/>
        <w:jc w:val="center"/>
        <w:rPr>
          <w:rFonts w:ascii="Times New Roman" w:hAnsi="Times New Roman" w:cs="Times New Roman"/>
          <w:sz w:val="24"/>
          <w:szCs w:val="24"/>
        </w:rPr>
      </w:pPr>
    </w:p>
    <w:p w14:paraId="4A53FEA6" w14:textId="77777777" w:rsidR="004123DA" w:rsidRDefault="004123DA" w:rsidP="004123DA">
      <w:pPr>
        <w:spacing w:after="0" w:line="480" w:lineRule="auto"/>
        <w:contextualSpacing/>
        <w:jc w:val="center"/>
        <w:rPr>
          <w:rFonts w:ascii="Times New Roman" w:hAnsi="Times New Roman" w:cs="Times New Roman"/>
          <w:sz w:val="24"/>
          <w:szCs w:val="24"/>
        </w:rPr>
      </w:pPr>
    </w:p>
    <w:p w14:paraId="744E00EB" w14:textId="77777777" w:rsidR="004123DA" w:rsidRDefault="004123DA" w:rsidP="004123DA">
      <w:pPr>
        <w:spacing w:after="0" w:line="480" w:lineRule="auto"/>
        <w:contextualSpacing/>
        <w:jc w:val="center"/>
        <w:rPr>
          <w:rFonts w:ascii="Times New Roman" w:hAnsi="Times New Roman" w:cs="Times New Roman"/>
          <w:sz w:val="24"/>
          <w:szCs w:val="24"/>
        </w:rPr>
      </w:pPr>
    </w:p>
    <w:p w14:paraId="0896709B" w14:textId="3F80CA07" w:rsidR="004123DA" w:rsidRDefault="004123DA" w:rsidP="004123DA">
      <w:pPr>
        <w:spacing w:after="0" w:line="480" w:lineRule="auto"/>
        <w:contextualSpacing/>
        <w:jc w:val="center"/>
        <w:rPr>
          <w:rFonts w:ascii="Times New Roman" w:hAnsi="Times New Roman" w:cs="Times New Roman"/>
          <w:sz w:val="24"/>
          <w:szCs w:val="24"/>
        </w:rPr>
      </w:pPr>
    </w:p>
    <w:p w14:paraId="4AD34B61" w14:textId="26FFA41A" w:rsidR="004123DA" w:rsidRDefault="004123DA" w:rsidP="004123DA">
      <w:pPr>
        <w:spacing w:after="0" w:line="480" w:lineRule="auto"/>
        <w:contextualSpacing/>
        <w:jc w:val="center"/>
        <w:rPr>
          <w:rFonts w:ascii="Times New Roman" w:hAnsi="Times New Roman" w:cs="Times New Roman"/>
          <w:sz w:val="24"/>
          <w:szCs w:val="24"/>
        </w:rPr>
      </w:pPr>
    </w:p>
    <w:p w14:paraId="38474772" w14:textId="77777777" w:rsidR="004123DA" w:rsidRDefault="004123DA" w:rsidP="004123DA">
      <w:pPr>
        <w:spacing w:after="0" w:line="480" w:lineRule="auto"/>
        <w:contextualSpacing/>
        <w:jc w:val="center"/>
        <w:rPr>
          <w:rFonts w:ascii="Times New Roman" w:hAnsi="Times New Roman" w:cs="Times New Roman"/>
          <w:sz w:val="24"/>
          <w:szCs w:val="24"/>
        </w:rPr>
      </w:pPr>
    </w:p>
    <w:p w14:paraId="2A1486A0" w14:textId="77777777" w:rsidR="004123DA" w:rsidRDefault="004123DA" w:rsidP="004123DA">
      <w:pPr>
        <w:spacing w:after="0" w:line="480" w:lineRule="auto"/>
        <w:contextualSpacing/>
        <w:jc w:val="center"/>
        <w:rPr>
          <w:rFonts w:ascii="Times New Roman" w:hAnsi="Times New Roman" w:cs="Times New Roman"/>
          <w:sz w:val="24"/>
          <w:szCs w:val="24"/>
        </w:rPr>
      </w:pPr>
    </w:p>
    <w:p w14:paraId="18630441" w14:textId="77777777" w:rsidR="004123DA" w:rsidRDefault="004123DA" w:rsidP="004123DA">
      <w:pPr>
        <w:spacing w:after="0" w:line="480" w:lineRule="auto"/>
        <w:contextualSpacing/>
        <w:jc w:val="center"/>
        <w:rPr>
          <w:rFonts w:ascii="Times New Roman" w:hAnsi="Times New Roman" w:cs="Times New Roman"/>
          <w:sz w:val="24"/>
          <w:szCs w:val="24"/>
        </w:rPr>
      </w:pPr>
    </w:p>
    <w:p w14:paraId="6C79B6AF" w14:textId="5067F941" w:rsidR="004123DA" w:rsidRDefault="00691AA9" w:rsidP="00412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Responses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Law Questions</w:t>
      </w:r>
      <w:r w:rsidRPr="004123DA">
        <w:rPr>
          <w:rFonts w:ascii="Times New Roman" w:hAnsi="Times New Roman" w:cs="Times New Roman"/>
          <w:sz w:val="24"/>
          <w:szCs w:val="24"/>
        </w:rPr>
        <w:t xml:space="preserve"> </w:t>
      </w:r>
    </w:p>
    <w:p w14:paraId="3D40EDFF" w14:textId="14B485B2" w:rsidR="004123DA" w:rsidRPr="004123DA" w:rsidRDefault="00691AA9" w:rsidP="004123DA">
      <w:pPr>
        <w:spacing w:after="0" w:line="480" w:lineRule="auto"/>
        <w:contextualSpacing/>
        <w:jc w:val="center"/>
        <w:rPr>
          <w:rFonts w:ascii="Times New Roman" w:hAnsi="Times New Roman" w:cs="Times New Roman"/>
          <w:sz w:val="24"/>
          <w:szCs w:val="24"/>
        </w:rPr>
      </w:pPr>
      <w:r w:rsidRPr="004123DA">
        <w:rPr>
          <w:rFonts w:ascii="Times New Roman" w:hAnsi="Times New Roman" w:cs="Times New Roman"/>
          <w:sz w:val="24"/>
          <w:szCs w:val="24"/>
        </w:rPr>
        <w:t>Name</w:t>
      </w:r>
    </w:p>
    <w:p w14:paraId="14A1E2A8" w14:textId="3FD20E2D" w:rsidR="004123DA" w:rsidRDefault="00691AA9" w:rsidP="004123DA">
      <w:pPr>
        <w:spacing w:after="0" w:line="480" w:lineRule="auto"/>
        <w:contextualSpacing/>
        <w:jc w:val="center"/>
        <w:rPr>
          <w:rFonts w:ascii="Times New Roman" w:hAnsi="Times New Roman" w:cs="Times New Roman"/>
          <w:sz w:val="24"/>
          <w:szCs w:val="24"/>
        </w:rPr>
      </w:pPr>
      <w:r w:rsidRPr="004123DA">
        <w:rPr>
          <w:rFonts w:ascii="Times New Roman" w:hAnsi="Times New Roman" w:cs="Times New Roman"/>
          <w:sz w:val="24"/>
          <w:szCs w:val="24"/>
        </w:rPr>
        <w:t>Institution</w:t>
      </w:r>
    </w:p>
    <w:p w14:paraId="7876ACD6" w14:textId="7BD17B6F" w:rsidR="004123DA" w:rsidRDefault="004123DA" w:rsidP="004123DA">
      <w:pPr>
        <w:spacing w:after="0" w:line="480" w:lineRule="auto"/>
        <w:contextualSpacing/>
        <w:jc w:val="center"/>
        <w:rPr>
          <w:rFonts w:ascii="Times New Roman" w:hAnsi="Times New Roman" w:cs="Times New Roman"/>
          <w:sz w:val="24"/>
          <w:szCs w:val="24"/>
        </w:rPr>
      </w:pPr>
    </w:p>
    <w:p w14:paraId="2E794E88" w14:textId="7EC67EF6" w:rsidR="004123DA" w:rsidRDefault="004123DA" w:rsidP="004123DA">
      <w:pPr>
        <w:spacing w:after="0" w:line="480" w:lineRule="auto"/>
        <w:contextualSpacing/>
        <w:jc w:val="center"/>
        <w:rPr>
          <w:rFonts w:ascii="Times New Roman" w:hAnsi="Times New Roman" w:cs="Times New Roman"/>
          <w:sz w:val="24"/>
          <w:szCs w:val="24"/>
        </w:rPr>
      </w:pPr>
    </w:p>
    <w:p w14:paraId="20018F1E" w14:textId="76DC2D2A" w:rsidR="004123DA" w:rsidRDefault="004123DA" w:rsidP="004123DA">
      <w:pPr>
        <w:spacing w:after="0" w:line="480" w:lineRule="auto"/>
        <w:contextualSpacing/>
        <w:jc w:val="center"/>
        <w:rPr>
          <w:rFonts w:ascii="Times New Roman" w:hAnsi="Times New Roman" w:cs="Times New Roman"/>
          <w:sz w:val="24"/>
          <w:szCs w:val="24"/>
        </w:rPr>
      </w:pPr>
    </w:p>
    <w:p w14:paraId="77BD9818" w14:textId="218CBDA1" w:rsidR="004123DA" w:rsidRDefault="004123DA" w:rsidP="004123DA">
      <w:pPr>
        <w:spacing w:after="0" w:line="480" w:lineRule="auto"/>
        <w:contextualSpacing/>
        <w:jc w:val="center"/>
        <w:rPr>
          <w:rFonts w:ascii="Times New Roman" w:hAnsi="Times New Roman" w:cs="Times New Roman"/>
          <w:sz w:val="24"/>
          <w:szCs w:val="24"/>
        </w:rPr>
      </w:pPr>
    </w:p>
    <w:p w14:paraId="2F537B78" w14:textId="30B463FD" w:rsidR="004123DA" w:rsidRDefault="004123DA" w:rsidP="004123DA">
      <w:pPr>
        <w:spacing w:after="0" w:line="480" w:lineRule="auto"/>
        <w:contextualSpacing/>
        <w:jc w:val="center"/>
        <w:rPr>
          <w:rFonts w:ascii="Times New Roman" w:hAnsi="Times New Roman" w:cs="Times New Roman"/>
          <w:sz w:val="24"/>
          <w:szCs w:val="24"/>
        </w:rPr>
      </w:pPr>
    </w:p>
    <w:p w14:paraId="136CBFFF" w14:textId="4E0E605E" w:rsidR="004123DA" w:rsidRDefault="004123DA" w:rsidP="004123DA">
      <w:pPr>
        <w:spacing w:after="0" w:line="480" w:lineRule="auto"/>
        <w:contextualSpacing/>
        <w:jc w:val="center"/>
        <w:rPr>
          <w:rFonts w:ascii="Times New Roman" w:hAnsi="Times New Roman" w:cs="Times New Roman"/>
          <w:sz w:val="24"/>
          <w:szCs w:val="24"/>
        </w:rPr>
      </w:pPr>
    </w:p>
    <w:p w14:paraId="1893E1F9" w14:textId="7C50CF8A" w:rsidR="004123DA" w:rsidRDefault="004123DA" w:rsidP="004123DA">
      <w:pPr>
        <w:spacing w:after="0" w:line="480" w:lineRule="auto"/>
        <w:contextualSpacing/>
        <w:jc w:val="center"/>
        <w:rPr>
          <w:rFonts w:ascii="Times New Roman" w:hAnsi="Times New Roman" w:cs="Times New Roman"/>
          <w:sz w:val="24"/>
          <w:szCs w:val="24"/>
        </w:rPr>
      </w:pPr>
    </w:p>
    <w:p w14:paraId="4336E947" w14:textId="2CA02448" w:rsidR="004123DA" w:rsidRDefault="004123DA" w:rsidP="004123DA">
      <w:pPr>
        <w:spacing w:after="0" w:line="480" w:lineRule="auto"/>
        <w:contextualSpacing/>
        <w:jc w:val="center"/>
        <w:rPr>
          <w:rFonts w:ascii="Times New Roman" w:hAnsi="Times New Roman" w:cs="Times New Roman"/>
          <w:sz w:val="24"/>
          <w:szCs w:val="24"/>
        </w:rPr>
      </w:pPr>
    </w:p>
    <w:p w14:paraId="169CAFAE" w14:textId="77777777" w:rsidR="004123DA" w:rsidRPr="004123DA" w:rsidRDefault="004123DA" w:rsidP="004123DA">
      <w:pPr>
        <w:spacing w:after="0" w:line="480" w:lineRule="auto"/>
        <w:contextualSpacing/>
        <w:jc w:val="center"/>
        <w:rPr>
          <w:rFonts w:ascii="Times New Roman" w:hAnsi="Times New Roman" w:cs="Times New Roman"/>
          <w:sz w:val="24"/>
          <w:szCs w:val="24"/>
        </w:rPr>
      </w:pPr>
    </w:p>
    <w:p w14:paraId="65B89E5A" w14:textId="77777777" w:rsidR="003E7B04" w:rsidRDefault="003E7B04" w:rsidP="004123DA">
      <w:pPr>
        <w:spacing w:after="0" w:line="480" w:lineRule="auto"/>
        <w:contextualSpacing/>
        <w:jc w:val="center"/>
        <w:rPr>
          <w:rFonts w:ascii="Times New Roman" w:hAnsi="Times New Roman" w:cs="Times New Roman"/>
          <w:b/>
          <w:bCs/>
          <w:sz w:val="24"/>
          <w:szCs w:val="24"/>
        </w:rPr>
      </w:pPr>
    </w:p>
    <w:p w14:paraId="32901022" w14:textId="219B8135" w:rsidR="00B61F81" w:rsidRPr="004123DA" w:rsidRDefault="00691AA9" w:rsidP="004123DA">
      <w:pPr>
        <w:spacing w:after="0" w:line="480" w:lineRule="auto"/>
        <w:contextualSpacing/>
        <w:jc w:val="center"/>
        <w:rPr>
          <w:rFonts w:ascii="Times New Roman" w:hAnsi="Times New Roman" w:cs="Times New Roman"/>
          <w:b/>
          <w:bCs/>
          <w:sz w:val="24"/>
          <w:szCs w:val="24"/>
        </w:rPr>
      </w:pPr>
      <w:r w:rsidRPr="004123DA">
        <w:rPr>
          <w:rFonts w:ascii="Times New Roman" w:hAnsi="Times New Roman" w:cs="Times New Roman"/>
          <w:b/>
          <w:bCs/>
          <w:sz w:val="24"/>
          <w:szCs w:val="24"/>
        </w:rPr>
        <w:lastRenderedPageBreak/>
        <w:t>Constitutional</w:t>
      </w:r>
    </w:p>
    <w:p w14:paraId="3864D96A" w14:textId="7261ABC4" w:rsidR="00B61F81" w:rsidRPr="004123DA" w:rsidRDefault="00691AA9" w:rsidP="004123DA">
      <w:pPr>
        <w:spacing w:after="0" w:line="480" w:lineRule="auto"/>
        <w:contextualSpacing/>
        <w:rPr>
          <w:rFonts w:ascii="Times New Roman" w:hAnsi="Times New Roman" w:cs="Times New Roman"/>
          <w:b/>
          <w:bCs/>
          <w:i/>
          <w:iCs/>
          <w:sz w:val="24"/>
          <w:szCs w:val="24"/>
        </w:rPr>
      </w:pPr>
      <w:r w:rsidRPr="004123DA">
        <w:rPr>
          <w:rFonts w:ascii="Times New Roman" w:hAnsi="Times New Roman" w:cs="Times New Roman"/>
          <w:b/>
          <w:bCs/>
          <w:i/>
          <w:iCs/>
          <w:sz w:val="24"/>
          <w:szCs w:val="24"/>
        </w:rPr>
        <w:t xml:space="preserve">Is the doctrine of separation of powers still a viable concept? Discuss. </w:t>
      </w:r>
    </w:p>
    <w:p w14:paraId="0FF58D4E" w14:textId="77777777"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b/>
          <w:bCs/>
          <w:sz w:val="24"/>
          <w:szCs w:val="24"/>
        </w:rPr>
        <w:tab/>
      </w:r>
      <w:r w:rsidRPr="004123DA">
        <w:rPr>
          <w:rFonts w:ascii="Times New Roman" w:hAnsi="Times New Roman" w:cs="Times New Roman"/>
          <w:sz w:val="24"/>
          <w:szCs w:val="24"/>
        </w:rPr>
        <w:t>The separation of powers is one of the essential concepts of the rule of law and a contemporary liberal democracy (Waldron 2019). Government authority is required to separate institutions consisting of separate individuals. Every institution may act as a check for the other institutions. This meaning is, however, ambiguous. This brings about several theories and approaches to be understood in several ways. It is important to note that the judiciary independence was shaped and afterwards became closely connected with the separation of powers. The term separation of powers is used in the division of the competence that exists between parts of the federal states and central authorities. This is concerning the sharing of powers between the local government and the state.</w:t>
      </w:r>
    </w:p>
    <w:p w14:paraId="5A3A9BFC" w14:textId="0943A4A5"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The following are the theoretical insights;</w:t>
      </w:r>
    </w:p>
    <w:p w14:paraId="157F0AA9" w14:textId="77777777" w:rsidR="00B61F81" w:rsidRPr="004123DA" w:rsidRDefault="00691AA9" w:rsidP="004123DA">
      <w:pPr>
        <w:pStyle w:val="ListParagraph"/>
        <w:numPr>
          <w:ilvl w:val="0"/>
          <w:numId w:val="2"/>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The pure theory of separation of powers.</w:t>
      </w:r>
    </w:p>
    <w:p w14:paraId="45C8AF64" w14:textId="77777777"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Vile presented this theory in his monograph called "constitutionalism and separation of powers" (</w:t>
      </w:r>
      <w:proofErr w:type="spellStart"/>
      <w:r w:rsidRPr="004123DA">
        <w:rPr>
          <w:rFonts w:ascii="Times New Roman" w:hAnsi="Times New Roman" w:cs="Times New Roman"/>
          <w:sz w:val="24"/>
          <w:szCs w:val="24"/>
        </w:rPr>
        <w:t>Awolich</w:t>
      </w:r>
      <w:proofErr w:type="spellEnd"/>
      <w:r w:rsidRPr="004123DA">
        <w:rPr>
          <w:rFonts w:ascii="Times New Roman" w:hAnsi="Times New Roman" w:cs="Times New Roman"/>
          <w:sz w:val="24"/>
          <w:szCs w:val="24"/>
        </w:rPr>
        <w:t xml:space="preserve"> 2016). Based on these concepts, it is essential to separate executive and judicial branches and legislative branches so that political freedom can be maintained. Each of these should have a different function. Every power must be restricted to perform its duty and does not have the authority to interfere with another body's function. According to Vile, every member should only be a member of one power. This brings out a proper definition of separation of powers. </w:t>
      </w:r>
    </w:p>
    <w:p w14:paraId="3EFD596F" w14:textId="77777777" w:rsidR="00B61F81" w:rsidRPr="004123DA" w:rsidRDefault="00691AA9" w:rsidP="004123DA">
      <w:pPr>
        <w:pStyle w:val="ListParagraph"/>
        <w:numPr>
          <w:ilvl w:val="0"/>
          <w:numId w:val="2"/>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Checks and balances.</w:t>
      </w:r>
    </w:p>
    <w:p w14:paraId="185CC374" w14:textId="77777777"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This theory is also known as the system of checks and balances. In this theory, there is no strictness in the separation of responsibilities between the branches of state power. Some rules </w:t>
      </w:r>
      <w:r w:rsidRPr="004123DA">
        <w:rPr>
          <w:rFonts w:ascii="Times New Roman" w:hAnsi="Times New Roman" w:cs="Times New Roman"/>
          <w:sz w:val="24"/>
          <w:szCs w:val="24"/>
        </w:rPr>
        <w:lastRenderedPageBreak/>
        <w:t>act as a guide and prevent power concentration on a single body. This system requires power distribution among the different branches so that each unit can have some power over the other ones. The system of divided powers does not create a system of checks. There are significant elements that allow one branch to have an influence on the others in an imitative based manner.</w:t>
      </w:r>
    </w:p>
    <w:p w14:paraId="39C30199" w14:textId="77777777" w:rsidR="00B61F81" w:rsidRPr="004123DA" w:rsidRDefault="00691AA9" w:rsidP="004123DA">
      <w:pPr>
        <w:pStyle w:val="ListParagraph"/>
        <w:numPr>
          <w:ilvl w:val="0"/>
          <w:numId w:val="2"/>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Separation of powers versus fusion of checks.</w:t>
      </w:r>
    </w:p>
    <w:p w14:paraId="092116DD" w14:textId="77777777" w:rsidR="00B61F81" w:rsidRPr="004123DA" w:rsidRDefault="00691AA9" w:rsidP="004123DA">
      <w:pPr>
        <w:pStyle w:val="ListParagraph"/>
        <w:spacing w:after="0" w:line="480" w:lineRule="auto"/>
        <w:ind w:left="0"/>
        <w:rPr>
          <w:rFonts w:ascii="Times New Roman" w:hAnsi="Times New Roman" w:cs="Times New Roman"/>
          <w:sz w:val="24"/>
          <w:szCs w:val="24"/>
        </w:rPr>
      </w:pPr>
      <w:r w:rsidRPr="004123DA">
        <w:rPr>
          <w:rFonts w:ascii="Times New Roman" w:hAnsi="Times New Roman" w:cs="Times New Roman"/>
          <w:sz w:val="24"/>
          <w:szCs w:val="24"/>
        </w:rPr>
        <w:t xml:space="preserve">The checks and balances system bring about the mutual linkage between state institutions. This brings about a divergence in the separation of powers. In the separation of powers, it means the division of functions meaning that public authority can be divided into various spheres, which include legislative, judicial and executive. This necessitates each of the bodies to be allocated with a different function. Management of this separate bodied is entitled to different people. The degree of separation varies from one country to another. </w:t>
      </w:r>
    </w:p>
    <w:p w14:paraId="5576CC50" w14:textId="77B75547" w:rsidR="00B61F81" w:rsidRPr="00057A37" w:rsidRDefault="00691AA9" w:rsidP="004123DA">
      <w:pPr>
        <w:spacing w:after="0" w:line="480" w:lineRule="auto"/>
        <w:contextualSpacing/>
        <w:rPr>
          <w:rFonts w:ascii="Times New Roman" w:hAnsi="Times New Roman" w:cs="Times New Roman"/>
          <w:sz w:val="24"/>
          <w:szCs w:val="24"/>
        </w:rPr>
      </w:pPr>
      <w:r w:rsidRPr="00057A37">
        <w:rPr>
          <w:rFonts w:ascii="Times New Roman" w:hAnsi="Times New Roman" w:cs="Times New Roman"/>
          <w:sz w:val="24"/>
          <w:szCs w:val="24"/>
        </w:rPr>
        <w:t xml:space="preserve">The genesis of the </w:t>
      </w:r>
      <w:r w:rsidR="00057A37">
        <w:rPr>
          <w:rFonts w:ascii="Times New Roman" w:hAnsi="Times New Roman" w:cs="Times New Roman"/>
          <w:sz w:val="24"/>
          <w:szCs w:val="24"/>
        </w:rPr>
        <w:t>theory is as follows;</w:t>
      </w:r>
    </w:p>
    <w:p w14:paraId="49890376" w14:textId="77777777" w:rsidR="00B61F81" w:rsidRPr="004123DA" w:rsidRDefault="00691AA9" w:rsidP="004123DA">
      <w:pPr>
        <w:pStyle w:val="ListParagraph"/>
        <w:numPr>
          <w:ilvl w:val="0"/>
          <w:numId w:val="3"/>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Ancient Antecedents.</w:t>
      </w:r>
    </w:p>
    <w:p w14:paraId="28569D03" w14:textId="77777777"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Certain lawyers made a combination of the doctrine of the separation of powers with ancient philosophy. Aristotle identified the things that a legislator should consider. These things were the official, the deliberative and the judicial. The ancient Greek regime, however, promoted a mixed regime. In this, separation of powers was among aristocracy, monarchy and the people so that political balance would be maintained. In this regime, state authority was not assumed to be limited in executing a one kind competence. Every organ was required to present several layers of society. </w:t>
      </w:r>
    </w:p>
    <w:p w14:paraId="1DD23915" w14:textId="77777777" w:rsidR="00B61F81" w:rsidRPr="004123DA" w:rsidRDefault="00691AA9" w:rsidP="004123DA">
      <w:pPr>
        <w:pStyle w:val="ListParagraph"/>
        <w:numPr>
          <w:ilvl w:val="0"/>
          <w:numId w:val="3"/>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Levelers, Locke and Montesquieu</w:t>
      </w:r>
    </w:p>
    <w:p w14:paraId="24E4AEED" w14:textId="77777777" w:rsidR="00B61F81"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Gyn stated that </w:t>
      </w:r>
      <w:proofErr w:type="spellStart"/>
      <w:r w:rsidRPr="004123DA">
        <w:rPr>
          <w:rFonts w:ascii="Times New Roman" w:hAnsi="Times New Roman" w:cs="Times New Roman"/>
          <w:sz w:val="24"/>
          <w:szCs w:val="24"/>
        </w:rPr>
        <w:t>Lilburne</w:t>
      </w:r>
      <w:proofErr w:type="spellEnd"/>
      <w:r w:rsidRPr="004123DA">
        <w:rPr>
          <w:rFonts w:ascii="Times New Roman" w:hAnsi="Times New Roman" w:cs="Times New Roman"/>
          <w:sz w:val="24"/>
          <w:szCs w:val="24"/>
        </w:rPr>
        <w:t xml:space="preserve"> first created the theory of separation of powers. It was then presented to his pamphlet where he then attacked the parliament for having little powers. Symptoms of this </w:t>
      </w:r>
      <w:r w:rsidRPr="004123DA">
        <w:rPr>
          <w:rFonts w:ascii="Times New Roman" w:hAnsi="Times New Roman" w:cs="Times New Roman"/>
          <w:sz w:val="24"/>
          <w:szCs w:val="24"/>
        </w:rPr>
        <w:lastRenderedPageBreak/>
        <w:t xml:space="preserve">theory were still visible in other documents such as one that was issued by </w:t>
      </w:r>
      <w:proofErr w:type="spellStart"/>
      <w:r w:rsidRPr="004123DA">
        <w:rPr>
          <w:rFonts w:ascii="Times New Roman" w:hAnsi="Times New Roman" w:cs="Times New Roman"/>
          <w:sz w:val="24"/>
          <w:szCs w:val="24"/>
        </w:rPr>
        <w:t>Levellers</w:t>
      </w:r>
      <w:proofErr w:type="spellEnd"/>
      <w:r w:rsidRPr="004123DA">
        <w:rPr>
          <w:rFonts w:ascii="Times New Roman" w:hAnsi="Times New Roman" w:cs="Times New Roman"/>
          <w:sz w:val="24"/>
          <w:szCs w:val="24"/>
        </w:rPr>
        <w:t xml:space="preserve">. Vile, however, traced the separation of powers origin to </w:t>
      </w:r>
      <w:proofErr w:type="spellStart"/>
      <w:r w:rsidRPr="004123DA">
        <w:rPr>
          <w:rFonts w:ascii="Times New Roman" w:hAnsi="Times New Roman" w:cs="Times New Roman"/>
          <w:sz w:val="24"/>
          <w:szCs w:val="24"/>
        </w:rPr>
        <w:t>Nedham</w:t>
      </w:r>
      <w:proofErr w:type="spellEnd"/>
      <w:r w:rsidRPr="004123DA">
        <w:rPr>
          <w:rFonts w:ascii="Times New Roman" w:hAnsi="Times New Roman" w:cs="Times New Roman"/>
          <w:sz w:val="24"/>
          <w:szCs w:val="24"/>
        </w:rPr>
        <w:t xml:space="preserve"> writings. </w:t>
      </w:r>
      <w:proofErr w:type="spellStart"/>
      <w:r w:rsidRPr="004123DA">
        <w:rPr>
          <w:rFonts w:ascii="Times New Roman" w:hAnsi="Times New Roman" w:cs="Times New Roman"/>
          <w:sz w:val="24"/>
          <w:szCs w:val="24"/>
        </w:rPr>
        <w:t>Nedham</w:t>
      </w:r>
      <w:proofErr w:type="spellEnd"/>
      <w:r w:rsidRPr="004123DA">
        <w:rPr>
          <w:rFonts w:ascii="Times New Roman" w:hAnsi="Times New Roman" w:cs="Times New Roman"/>
          <w:sz w:val="24"/>
          <w:szCs w:val="24"/>
        </w:rPr>
        <w:t xml:space="preserve"> came up with the opinion that separation of powers was essential for the maintenance of political freedom. The balanced government theory was then developed in England after the fall of Cromwell. It was an amalgamation of the mixed regime and the separation </w:t>
      </w:r>
      <w:proofErr w:type="spellStart"/>
      <w:r w:rsidRPr="004123DA">
        <w:rPr>
          <w:rFonts w:ascii="Times New Roman" w:hAnsi="Times New Roman" w:cs="Times New Roman"/>
          <w:sz w:val="24"/>
          <w:szCs w:val="24"/>
        </w:rPr>
        <w:t>off</w:t>
      </w:r>
      <w:proofErr w:type="spellEnd"/>
      <w:r w:rsidRPr="004123DA">
        <w:rPr>
          <w:rFonts w:ascii="Times New Roman" w:hAnsi="Times New Roman" w:cs="Times New Roman"/>
          <w:sz w:val="24"/>
          <w:szCs w:val="24"/>
        </w:rPr>
        <w:t xml:space="preserve"> powers. Montesquieu stated that division of power was complemented by a system of checks, hence not absolute. These powers outdid its competences, and there had to bring about a balance by brake application. </w:t>
      </w:r>
    </w:p>
    <w:p w14:paraId="74177AD5" w14:textId="77777777" w:rsidR="00B61F81" w:rsidRPr="004123DA" w:rsidRDefault="00691AA9" w:rsidP="004123DA">
      <w:pPr>
        <w:pStyle w:val="ListParagraph"/>
        <w:numPr>
          <w:ilvl w:val="0"/>
          <w:numId w:val="3"/>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 xml:space="preserve">Constant’s doctrine. </w:t>
      </w:r>
    </w:p>
    <w:p w14:paraId="6112B572" w14:textId="68030723" w:rsidR="004123DA" w:rsidRDefault="00691AA9" w:rsidP="00EE0054">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In some cases, the state's power was divided into more than three branches. These branches had a constant forerunner who </w:t>
      </w:r>
      <w:proofErr w:type="spellStart"/>
      <w:r w:rsidRPr="004123DA">
        <w:rPr>
          <w:rFonts w:ascii="Times New Roman" w:hAnsi="Times New Roman" w:cs="Times New Roman"/>
          <w:sz w:val="24"/>
          <w:szCs w:val="24"/>
        </w:rPr>
        <w:t>contented</w:t>
      </w:r>
      <w:proofErr w:type="spellEnd"/>
      <w:r w:rsidRPr="004123DA">
        <w:rPr>
          <w:rFonts w:ascii="Times New Roman" w:hAnsi="Times New Roman" w:cs="Times New Roman"/>
          <w:sz w:val="24"/>
          <w:szCs w:val="24"/>
        </w:rPr>
        <w:t xml:space="preserve"> that each should have five powers (Code 2018). These powers were executive power, representative power of long duration, royal power, judicial power and representative power of public opinion. There should be neutrality in royal powers and should also guarantee that the other powers are balanced. This means that no power has the authority to overthrow the other. They should support and understand each other. Constant proposed that powers of the executive should be vested in ministers, representative power of the public opinion in the elected assembly and judicial authorities in the tribunal. The representative powers were partners with the judicial powers law in several cases. Constants also wrote about the municipal powers besides the representative powers. He wrote about municipal powers which expressed his view about the need to have a decentralized state.  With all the above, the doctrine of separation of powers is still viable.  </w:t>
      </w:r>
    </w:p>
    <w:p w14:paraId="5735CA24" w14:textId="4598ADA8" w:rsidR="00EE0054" w:rsidRDefault="00EE0054" w:rsidP="00EE0054">
      <w:pPr>
        <w:spacing w:after="0" w:line="480" w:lineRule="auto"/>
        <w:contextualSpacing/>
        <w:rPr>
          <w:rFonts w:ascii="Times New Roman" w:hAnsi="Times New Roman" w:cs="Times New Roman"/>
          <w:sz w:val="24"/>
          <w:szCs w:val="24"/>
        </w:rPr>
      </w:pPr>
    </w:p>
    <w:p w14:paraId="0D4AD310" w14:textId="0A8FB5CD" w:rsidR="00EE0054" w:rsidRDefault="00EE0054" w:rsidP="00EE0054">
      <w:pPr>
        <w:spacing w:after="0" w:line="480" w:lineRule="auto"/>
        <w:contextualSpacing/>
        <w:rPr>
          <w:rFonts w:ascii="Times New Roman" w:hAnsi="Times New Roman" w:cs="Times New Roman"/>
          <w:sz w:val="24"/>
          <w:szCs w:val="24"/>
        </w:rPr>
      </w:pPr>
    </w:p>
    <w:p w14:paraId="463E3AA9" w14:textId="77777777" w:rsidR="00EE0054" w:rsidRPr="004123DA" w:rsidRDefault="00EE0054" w:rsidP="00EE0054">
      <w:pPr>
        <w:spacing w:after="0" w:line="480" w:lineRule="auto"/>
        <w:contextualSpacing/>
        <w:rPr>
          <w:rFonts w:ascii="Times New Roman" w:hAnsi="Times New Roman" w:cs="Times New Roman"/>
          <w:b/>
          <w:bCs/>
          <w:sz w:val="24"/>
          <w:szCs w:val="24"/>
        </w:rPr>
      </w:pPr>
    </w:p>
    <w:p w14:paraId="3AAFFDCD" w14:textId="77777777" w:rsidR="0090616C" w:rsidRPr="004123DA" w:rsidRDefault="0090616C" w:rsidP="0090616C">
      <w:pPr>
        <w:spacing w:after="0" w:line="480" w:lineRule="auto"/>
        <w:contextualSpacing/>
        <w:jc w:val="center"/>
        <w:rPr>
          <w:rFonts w:ascii="Times New Roman" w:hAnsi="Times New Roman" w:cs="Times New Roman"/>
          <w:b/>
          <w:bCs/>
          <w:sz w:val="24"/>
          <w:szCs w:val="24"/>
        </w:rPr>
      </w:pPr>
      <w:r w:rsidRPr="004123DA">
        <w:rPr>
          <w:rFonts w:ascii="Times New Roman" w:hAnsi="Times New Roman" w:cs="Times New Roman"/>
          <w:b/>
          <w:bCs/>
          <w:sz w:val="24"/>
          <w:szCs w:val="24"/>
        </w:rPr>
        <w:lastRenderedPageBreak/>
        <w:t>Civil Liberties</w:t>
      </w:r>
    </w:p>
    <w:p w14:paraId="0CA86416" w14:textId="77777777" w:rsidR="0090616C" w:rsidRPr="004123DA" w:rsidRDefault="0090616C" w:rsidP="0090616C">
      <w:pPr>
        <w:spacing w:after="0" w:line="480" w:lineRule="auto"/>
        <w:rPr>
          <w:rFonts w:ascii="Times New Roman" w:hAnsi="Times New Roman" w:cs="Times New Roman"/>
          <w:b/>
          <w:bCs/>
          <w:i/>
          <w:iCs/>
          <w:sz w:val="24"/>
          <w:szCs w:val="24"/>
        </w:rPr>
      </w:pPr>
      <w:r w:rsidRPr="004123DA">
        <w:rPr>
          <w:rFonts w:ascii="Times New Roman" w:hAnsi="Times New Roman" w:cs="Times New Roman"/>
          <w:b/>
          <w:bCs/>
          <w:i/>
          <w:iCs/>
          <w:sz w:val="24"/>
          <w:szCs w:val="24"/>
        </w:rPr>
        <w:t>Critically examine how Article Two of the ECHR has protected various aspects of individual rights to life.</w:t>
      </w:r>
    </w:p>
    <w:p w14:paraId="331465D4"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Right to live is an essential aspect to all the individual. No one is supposed to take the life of the other person for granted. But to live in a utopia, norms should be established to protect the life of the other. The later calls for the establishment of the governing body and that are the government. They come up with laid consequences and punishment to each. That is the constitution.</w:t>
      </w:r>
    </w:p>
    <w:p w14:paraId="30933495"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Article two of the EHCR has stated well how the right of the other individual should be secured to help live in harmony. Article 2(1) which state "everyone's right to life shall be protected by law?", which means that nobody should end the life of the other including the government itself</w:t>
      </w:r>
      <w:r w:rsidRPr="004123DA">
        <w:rPr>
          <w:rFonts w:ascii="Times New Roman" w:eastAsia="Times New Roman" w:hAnsi="Times New Roman" w:cs="Times New Roman"/>
          <w:sz w:val="24"/>
          <w:szCs w:val="24"/>
          <w:lang w:eastAsia="en-GB"/>
        </w:rPr>
        <w:t xml:space="preserve"> (</w:t>
      </w:r>
      <w:proofErr w:type="spellStart"/>
      <w:r w:rsidRPr="004123DA">
        <w:rPr>
          <w:rFonts w:ascii="Times New Roman" w:eastAsia="Times New Roman" w:hAnsi="Times New Roman" w:cs="Times New Roman"/>
          <w:sz w:val="24"/>
          <w:szCs w:val="24"/>
          <w:lang w:eastAsia="en-GB"/>
        </w:rPr>
        <w:t>Mavronicola</w:t>
      </w:r>
      <w:proofErr w:type="spellEnd"/>
      <w:r w:rsidRPr="004123DA">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Pr="004123DA">
        <w:rPr>
          <w:rFonts w:ascii="Times New Roman" w:eastAsia="Times New Roman" w:hAnsi="Times New Roman" w:cs="Times New Roman"/>
          <w:sz w:val="24"/>
          <w:szCs w:val="24"/>
          <w:lang w:eastAsia="en-GB"/>
        </w:rPr>
        <w:t>2017).</w:t>
      </w:r>
      <w:r w:rsidRPr="004123DA">
        <w:rPr>
          <w:rFonts w:ascii="Times New Roman" w:hAnsi="Times New Roman" w:cs="Times New Roman"/>
          <w:sz w:val="24"/>
          <w:szCs w:val="24"/>
        </w:rPr>
        <w:t xml:space="preserve"> No, any instance can make the government execute somebody since they must safeguard and ensure a person lives. It does not only apply to the government but also other fellow-subjects of the country. Killing is prohibited action, especially to police violence that becomes more excessive. By protecting life, interpersonal relationship is enhanced in all aspect of human parameters. If a person dies while being arrested or held at custody, it means the right to life of that individual is violated if the state does not provide a plausible explanation. Even if it calls for the government to go against their will, no circumstances can call killing. </w:t>
      </w:r>
    </w:p>
    <w:p w14:paraId="1A55054F"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 xml:space="preserve">In article 2(2) it states that "the death penalty shall be abolished. No one shall be condemned to such penalty or executed".   Death penalty as a form of punishment is not allowed by the provision to those acting contraries to the obligation of human right, and it can only be operational in some instances. It is only applied in the war times crisis, or causing threat of war. </w:t>
      </w:r>
      <w:r w:rsidRPr="004123DA">
        <w:rPr>
          <w:rFonts w:ascii="Times New Roman" w:hAnsi="Times New Roman" w:cs="Times New Roman"/>
          <w:sz w:val="24"/>
          <w:szCs w:val="24"/>
        </w:rPr>
        <w:lastRenderedPageBreak/>
        <w:t>The law shall apply according to models laid provided above. A right protocol is strictly followed whereby the state makes communication to the secretary-general of the relevant council.</w:t>
      </w:r>
    </w:p>
    <w:p w14:paraId="4AB95E9F"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 xml:space="preserve">According to </w:t>
      </w:r>
      <w:r w:rsidRPr="004123DA">
        <w:rPr>
          <w:rFonts w:ascii="Times New Roman" w:eastAsia="Times New Roman" w:hAnsi="Times New Roman" w:cs="Times New Roman"/>
          <w:sz w:val="24"/>
          <w:szCs w:val="24"/>
          <w:lang w:eastAsia="en-GB"/>
        </w:rPr>
        <w:t>Skinner</w:t>
      </w:r>
      <w:r>
        <w:rPr>
          <w:rFonts w:ascii="Times New Roman" w:eastAsia="Times New Roman" w:hAnsi="Times New Roman" w:cs="Times New Roman"/>
          <w:sz w:val="24"/>
          <w:szCs w:val="24"/>
          <w:lang w:eastAsia="en-GB"/>
        </w:rPr>
        <w:t xml:space="preserve"> </w:t>
      </w:r>
      <w:r w:rsidRPr="004123DA">
        <w:rPr>
          <w:rFonts w:ascii="Times New Roman" w:eastAsia="Times New Roman" w:hAnsi="Times New Roman" w:cs="Times New Roman"/>
          <w:sz w:val="24"/>
          <w:szCs w:val="24"/>
          <w:lang w:eastAsia="en-GB"/>
        </w:rPr>
        <w:t xml:space="preserve">(2019), </w:t>
      </w:r>
      <w:r w:rsidRPr="004123DA">
        <w:rPr>
          <w:rFonts w:ascii="Times New Roman" w:hAnsi="Times New Roman" w:cs="Times New Roman"/>
          <w:sz w:val="24"/>
          <w:szCs w:val="24"/>
        </w:rPr>
        <w:t>police are the victim of the violation of the human right to life law as they are most engaged in murder, claiming that the perpetrators broke the law. They use excessive power to arrest people, and by such instances, they end up injuring a person causing deaths. At any cost, there should be no law permitting the death sentence as a form of punishment.</w:t>
      </w:r>
    </w:p>
    <w:p w14:paraId="446FD912"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 xml:space="preserve">The right prohibits individual from self-harm. An attempt to commit suicide or committing suicide is not permitted. Any attempt to commit suicide attract arrested and being judged harshly. It incorporates to an individual held in custody who are vulnerable they should be treated just like those who have freedom. Precaution is taken to them to </w:t>
      </w:r>
      <w:proofErr w:type="spellStart"/>
      <w:r w:rsidRPr="004123DA">
        <w:rPr>
          <w:rFonts w:ascii="Times New Roman" w:hAnsi="Times New Roman" w:cs="Times New Roman"/>
          <w:sz w:val="24"/>
          <w:szCs w:val="24"/>
        </w:rPr>
        <w:t>minimise</w:t>
      </w:r>
      <w:proofErr w:type="spellEnd"/>
      <w:r w:rsidRPr="004123DA">
        <w:rPr>
          <w:rFonts w:ascii="Times New Roman" w:hAnsi="Times New Roman" w:cs="Times New Roman"/>
          <w:sz w:val="24"/>
          <w:szCs w:val="24"/>
        </w:rPr>
        <w:t xml:space="preserve"> and diminish chances for self-harm with no infringement of their autonomy. The only applicable instance is dependent on case circumstances. Protection is extended to persons with psycho related problems such as mental disabilities. Foremost authorities have a duty of taking measures that are reasonable to take care of such individual irrespective of action being voluntarily or involuntary. The circumstances will depend on whether the person was </w:t>
      </w:r>
      <w:proofErr w:type="spellStart"/>
      <w:r w:rsidRPr="004123DA">
        <w:rPr>
          <w:rFonts w:ascii="Times New Roman" w:hAnsi="Times New Roman" w:cs="Times New Roman"/>
          <w:sz w:val="24"/>
          <w:szCs w:val="24"/>
        </w:rPr>
        <w:t>hospitalised</w:t>
      </w:r>
      <w:proofErr w:type="spellEnd"/>
      <w:r w:rsidRPr="004123DA">
        <w:rPr>
          <w:rFonts w:ascii="Times New Roman" w:hAnsi="Times New Roman" w:cs="Times New Roman"/>
          <w:sz w:val="24"/>
          <w:szCs w:val="24"/>
        </w:rPr>
        <w:t xml:space="preserve"> willingly or unwillingly.</w:t>
      </w:r>
    </w:p>
    <w:p w14:paraId="11E7632E"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The individual is also protected from industrial and environmental disasters, and this regards to potential risk level in those areas. According to</w:t>
      </w:r>
      <w:r w:rsidRPr="004123DA">
        <w:rPr>
          <w:rFonts w:ascii="Times New Roman" w:eastAsia="Times New Roman" w:hAnsi="Times New Roman" w:cs="Times New Roman"/>
          <w:sz w:val="24"/>
          <w:szCs w:val="24"/>
          <w:lang w:eastAsia="en-GB"/>
        </w:rPr>
        <w:t xml:space="preserve"> Berger, F. (2019), </w:t>
      </w:r>
      <w:r w:rsidRPr="004123DA">
        <w:rPr>
          <w:rFonts w:ascii="Times New Roman" w:hAnsi="Times New Roman" w:cs="Times New Roman"/>
          <w:sz w:val="24"/>
          <w:szCs w:val="24"/>
        </w:rPr>
        <w:t xml:space="preserve">through compulsory </w:t>
      </w:r>
      <w:proofErr w:type="spellStart"/>
      <w:r w:rsidRPr="004123DA">
        <w:rPr>
          <w:rFonts w:ascii="Times New Roman" w:hAnsi="Times New Roman" w:cs="Times New Roman"/>
          <w:sz w:val="24"/>
          <w:szCs w:val="24"/>
        </w:rPr>
        <w:t>licencing</w:t>
      </w:r>
      <w:proofErr w:type="spellEnd"/>
      <w:r w:rsidRPr="004123DA">
        <w:rPr>
          <w:rFonts w:ascii="Times New Roman" w:hAnsi="Times New Roman" w:cs="Times New Roman"/>
          <w:sz w:val="24"/>
          <w:szCs w:val="24"/>
        </w:rPr>
        <w:t xml:space="preserve"> of activities being set up in areas citizen lives and inherent risk endangering them, the death risk is </w:t>
      </w:r>
      <w:proofErr w:type="spellStart"/>
      <w:r w:rsidRPr="004123DA">
        <w:rPr>
          <w:rFonts w:ascii="Times New Roman" w:hAnsi="Times New Roman" w:cs="Times New Roman"/>
          <w:sz w:val="24"/>
          <w:szCs w:val="24"/>
        </w:rPr>
        <w:t>minimised</w:t>
      </w:r>
      <w:proofErr w:type="spellEnd"/>
      <w:r w:rsidRPr="004123DA">
        <w:rPr>
          <w:rFonts w:ascii="Times New Roman" w:hAnsi="Times New Roman" w:cs="Times New Roman"/>
          <w:sz w:val="24"/>
          <w:szCs w:val="24"/>
        </w:rPr>
        <w:t xml:space="preserve">. The measure taken is providing with information regarding the project being situated in those areas. That is the provision of useful information about shortcoming in the </w:t>
      </w:r>
      <w:r w:rsidRPr="004123DA">
        <w:rPr>
          <w:rFonts w:ascii="Times New Roman" w:hAnsi="Times New Roman" w:cs="Times New Roman"/>
          <w:sz w:val="24"/>
          <w:szCs w:val="24"/>
        </w:rPr>
        <w:lastRenderedPageBreak/>
        <w:t xml:space="preserve">project. The law calls that where the government is supposed to take positive measure, this falls in its appreciation margin. The state, while making any decision, should comply with the legal obligation where it involves convention interest that is conflicting. </w:t>
      </w:r>
    </w:p>
    <w:p w14:paraId="74D494CE" w14:textId="77777777" w:rsidR="0090616C" w:rsidRPr="004123DA" w:rsidRDefault="0090616C" w:rsidP="0090616C">
      <w:pPr>
        <w:spacing w:after="0" w:line="480" w:lineRule="auto"/>
        <w:ind w:firstLine="720"/>
        <w:rPr>
          <w:rFonts w:ascii="Times New Roman" w:hAnsi="Times New Roman" w:cs="Times New Roman"/>
          <w:sz w:val="24"/>
          <w:szCs w:val="24"/>
        </w:rPr>
      </w:pPr>
      <w:r w:rsidRPr="004123DA">
        <w:rPr>
          <w:rFonts w:ascii="Times New Roman" w:hAnsi="Times New Roman" w:cs="Times New Roman"/>
          <w:sz w:val="24"/>
          <w:szCs w:val="24"/>
        </w:rPr>
        <w:t>Right to life is extended to healthcare sectors. That calls for the state to build regulations constraining the working of both private and public hospital in handling the life of its subjects</w:t>
      </w:r>
      <w:r w:rsidRPr="004123DA">
        <w:rPr>
          <w:rFonts w:ascii="Times New Roman" w:eastAsia="Times New Roman" w:hAnsi="Times New Roman" w:cs="Times New Roman"/>
          <w:sz w:val="24"/>
          <w:szCs w:val="24"/>
          <w:lang w:eastAsia="en-GB"/>
        </w:rPr>
        <w:t xml:space="preserve"> (Black, I. 2018)</w:t>
      </w:r>
      <w:r w:rsidRPr="004123DA">
        <w:rPr>
          <w:rFonts w:ascii="Times New Roman" w:hAnsi="Times New Roman" w:cs="Times New Roman"/>
          <w:sz w:val="24"/>
          <w:szCs w:val="24"/>
        </w:rPr>
        <w:t>. The duty is extended to ensure the efficient working of a legitimate body. Patient detriments should be operational in all aspect of healthcare.</w:t>
      </w:r>
    </w:p>
    <w:p w14:paraId="11E06F70" w14:textId="5B2DAEA0" w:rsidR="0090616C" w:rsidRDefault="0090616C" w:rsidP="0090616C">
      <w:pPr>
        <w:spacing w:after="0" w:line="480" w:lineRule="auto"/>
        <w:ind w:firstLine="720"/>
      </w:pPr>
      <w:r w:rsidRPr="004123DA">
        <w:rPr>
          <w:rFonts w:ascii="Times New Roman" w:hAnsi="Times New Roman" w:cs="Times New Roman"/>
          <w:sz w:val="24"/>
          <w:szCs w:val="24"/>
        </w:rPr>
        <w:t>Despite such measures, there are some conditions the right might be operational, especially when it involves protection from malicious acts. There are four exhaustively cases that the law does mo</w:t>
      </w:r>
      <w:r>
        <w:rPr>
          <w:rFonts w:ascii="Times New Roman" w:hAnsi="Times New Roman" w:cs="Times New Roman"/>
          <w:sz w:val="24"/>
          <w:szCs w:val="24"/>
        </w:rPr>
        <w:t>s</w:t>
      </w:r>
      <w:r w:rsidRPr="004123DA">
        <w:rPr>
          <w:rFonts w:ascii="Times New Roman" w:hAnsi="Times New Roman" w:cs="Times New Roman"/>
          <w:sz w:val="24"/>
          <w:szCs w:val="24"/>
        </w:rPr>
        <w:t xml:space="preserve">t work and calls for interference. And they include; acting contrary to the law that is, court sentence that arises from committing a crime. The use of excessive force while providing </w:t>
      </w:r>
      <w:proofErr w:type="spellStart"/>
      <w:r w:rsidRPr="004123DA">
        <w:rPr>
          <w:rFonts w:ascii="Times New Roman" w:hAnsi="Times New Roman" w:cs="Times New Roman"/>
          <w:sz w:val="24"/>
          <w:szCs w:val="24"/>
        </w:rPr>
        <w:t>self-defence</w:t>
      </w:r>
      <w:proofErr w:type="spellEnd"/>
      <w:r w:rsidRPr="004123DA">
        <w:rPr>
          <w:rFonts w:ascii="Times New Roman" w:hAnsi="Times New Roman" w:cs="Times New Roman"/>
          <w:sz w:val="24"/>
          <w:szCs w:val="24"/>
        </w:rPr>
        <w:t xml:space="preserve"> and violence is started. When a need to arrest a person and to prevent him/her from escaping. Finally, is the action of triggering insurrection or war taken lawfully with the aim of riot quelling. </w:t>
      </w:r>
    </w:p>
    <w:p w14:paraId="4C25CF2D" w14:textId="14584975" w:rsidR="004123DA" w:rsidRPr="004123DA" w:rsidRDefault="00691AA9" w:rsidP="004123DA">
      <w:pPr>
        <w:spacing w:after="0" w:line="480" w:lineRule="auto"/>
        <w:contextualSpacing/>
        <w:jc w:val="center"/>
        <w:rPr>
          <w:rFonts w:ascii="Times New Roman" w:hAnsi="Times New Roman" w:cs="Times New Roman"/>
          <w:b/>
          <w:bCs/>
          <w:sz w:val="24"/>
          <w:szCs w:val="24"/>
        </w:rPr>
      </w:pPr>
      <w:r w:rsidRPr="004123DA">
        <w:rPr>
          <w:rFonts w:ascii="Times New Roman" w:hAnsi="Times New Roman" w:cs="Times New Roman"/>
          <w:b/>
          <w:bCs/>
          <w:sz w:val="24"/>
          <w:szCs w:val="24"/>
        </w:rPr>
        <w:t>Human Rights</w:t>
      </w:r>
    </w:p>
    <w:p w14:paraId="34092748" w14:textId="747BCAF3" w:rsidR="004123DA" w:rsidRPr="004123DA" w:rsidRDefault="00691AA9" w:rsidP="004123DA">
      <w:pPr>
        <w:spacing w:after="0" w:line="480" w:lineRule="auto"/>
        <w:contextualSpacing/>
        <w:rPr>
          <w:rFonts w:ascii="Times New Roman" w:hAnsi="Times New Roman" w:cs="Times New Roman"/>
          <w:b/>
          <w:bCs/>
          <w:i/>
          <w:iCs/>
          <w:sz w:val="24"/>
          <w:szCs w:val="24"/>
        </w:rPr>
      </w:pPr>
      <w:r w:rsidRPr="004123DA">
        <w:rPr>
          <w:rFonts w:ascii="Times New Roman" w:hAnsi="Times New Roman" w:cs="Times New Roman"/>
          <w:b/>
          <w:bCs/>
          <w:i/>
          <w:iCs/>
          <w:sz w:val="24"/>
          <w:szCs w:val="24"/>
        </w:rPr>
        <w:t>What remedies are available to those whose human rights have been violated?</w:t>
      </w:r>
    </w:p>
    <w:p w14:paraId="03346913" w14:textId="77777777" w:rsidR="00381031"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b/>
          <w:bCs/>
          <w:sz w:val="24"/>
          <w:szCs w:val="24"/>
        </w:rPr>
        <w:tab/>
      </w:r>
      <w:r w:rsidRPr="004123DA">
        <w:rPr>
          <w:rFonts w:ascii="Times New Roman" w:hAnsi="Times New Roman" w:cs="Times New Roman"/>
          <w:sz w:val="24"/>
          <w:szCs w:val="24"/>
        </w:rPr>
        <w:t>The purpose of remedies for human rights is to punish those who violate human rights. Every state is entitled to the responsibility of ensuring that all humans are entitled to human rights (</w:t>
      </w:r>
      <w:proofErr w:type="spellStart"/>
      <w:r w:rsidRPr="004123DA">
        <w:rPr>
          <w:rFonts w:ascii="Times New Roman" w:hAnsi="Times New Roman" w:cs="Times New Roman"/>
          <w:sz w:val="24"/>
          <w:szCs w:val="24"/>
        </w:rPr>
        <w:t>Usami</w:t>
      </w:r>
      <w:proofErr w:type="spellEnd"/>
      <w:r w:rsidRPr="004123DA">
        <w:rPr>
          <w:rFonts w:ascii="Times New Roman" w:hAnsi="Times New Roman" w:cs="Times New Roman"/>
          <w:sz w:val="24"/>
          <w:szCs w:val="24"/>
        </w:rPr>
        <w:t xml:space="preserve"> 2017). the government and the local authorities, therefore, have a duty of ensuring that human rights are not violated. The government takes some positive procedures that ensure every individual enjoys their rights. Enforcement of these human rights is therefore necessary so that human rights are not violated. Human rights claims are heard through a regular course of a </w:t>
      </w:r>
      <w:r w:rsidRPr="004123DA">
        <w:rPr>
          <w:rFonts w:ascii="Times New Roman" w:hAnsi="Times New Roman" w:cs="Times New Roman"/>
          <w:sz w:val="24"/>
          <w:szCs w:val="24"/>
        </w:rPr>
        <w:lastRenderedPageBreak/>
        <w:t xml:space="preserve">criminal case. Besides law enforcement, some individuals go ahead and infringe other people's rights.  </w:t>
      </w:r>
    </w:p>
    <w:p w14:paraId="27020BD5" w14:textId="24C7E2C0" w:rsidR="004123DA" w:rsidRPr="004123DA" w:rsidRDefault="00691AA9" w:rsidP="0038103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w:t>
      </w:r>
      <w:r w:rsidRPr="004123DA">
        <w:rPr>
          <w:rFonts w:ascii="Times New Roman" w:hAnsi="Times New Roman" w:cs="Times New Roman"/>
          <w:sz w:val="24"/>
          <w:szCs w:val="24"/>
        </w:rPr>
        <w:t xml:space="preserve">uman rights obligations </w:t>
      </w:r>
      <w:r>
        <w:rPr>
          <w:rFonts w:ascii="Times New Roman" w:hAnsi="Times New Roman" w:cs="Times New Roman"/>
          <w:sz w:val="24"/>
          <w:szCs w:val="24"/>
        </w:rPr>
        <w:t>should be</w:t>
      </w:r>
      <w:r w:rsidRPr="004123DA">
        <w:rPr>
          <w:rFonts w:ascii="Times New Roman" w:hAnsi="Times New Roman" w:cs="Times New Roman"/>
          <w:sz w:val="24"/>
          <w:szCs w:val="24"/>
        </w:rPr>
        <w:t xml:space="preserve"> enforce</w:t>
      </w:r>
      <w:r>
        <w:rPr>
          <w:rFonts w:ascii="Times New Roman" w:hAnsi="Times New Roman" w:cs="Times New Roman"/>
          <w:sz w:val="24"/>
          <w:szCs w:val="24"/>
        </w:rPr>
        <w:t xml:space="preserve">d; hence </w:t>
      </w:r>
      <w:r w:rsidRPr="004123DA">
        <w:rPr>
          <w:rFonts w:ascii="Times New Roman" w:hAnsi="Times New Roman" w:cs="Times New Roman"/>
          <w:sz w:val="24"/>
          <w:szCs w:val="24"/>
        </w:rPr>
        <w:t xml:space="preserve">several mechanisms exist at the national, regional and international levels. At the international levels, some mechanisms issue vehicles that help in monitoring compliance. Others offer petition procedures that allow people to challenge branches by the state of based on the nature of the violation of their human rights. In some other cases, some mechanisms have a link with the constitution and national legislation. in others, some treaties protect human rights. In contrast, in others, there are special agencies of the UN that are entitled to the responsibility of enforcing human rights such as health, </w:t>
      </w:r>
      <w:proofErr w:type="spellStart"/>
      <w:r w:rsidRPr="004123DA">
        <w:rPr>
          <w:rFonts w:ascii="Times New Roman" w:hAnsi="Times New Roman" w:cs="Times New Roman"/>
          <w:sz w:val="24"/>
          <w:szCs w:val="24"/>
        </w:rPr>
        <w:t>labour</w:t>
      </w:r>
      <w:proofErr w:type="spellEnd"/>
      <w:r w:rsidRPr="004123DA">
        <w:rPr>
          <w:rFonts w:ascii="Times New Roman" w:hAnsi="Times New Roman" w:cs="Times New Roman"/>
          <w:sz w:val="24"/>
          <w:szCs w:val="24"/>
        </w:rPr>
        <w:t xml:space="preserve">, and refugee rights. </w:t>
      </w:r>
    </w:p>
    <w:p w14:paraId="148CBC94" w14:textId="77777777" w:rsidR="004123DA"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 One of the remedies available is monetary remedies (Martin, 2018). Three remedies are available, where an applicant can receive money for the following; </w:t>
      </w:r>
    </w:p>
    <w:p w14:paraId="762B3734" w14:textId="77777777" w:rsidR="004123DA" w:rsidRPr="004123DA" w:rsidRDefault="00691AA9" w:rsidP="004123DA">
      <w:pPr>
        <w:pStyle w:val="ListParagraph"/>
        <w:numPr>
          <w:ilvl w:val="0"/>
          <w:numId w:val="4"/>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 xml:space="preserve">Compensation for money that the applicant lost or spent due to the discrimination. This may include the wages lost, rent increase or any moving expense. </w:t>
      </w:r>
    </w:p>
    <w:p w14:paraId="72F1C3FE" w14:textId="77777777" w:rsidR="004123DA" w:rsidRPr="004123DA" w:rsidRDefault="00691AA9" w:rsidP="004123DA">
      <w:pPr>
        <w:pStyle w:val="ListParagraph"/>
        <w:numPr>
          <w:ilvl w:val="0"/>
          <w:numId w:val="4"/>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 xml:space="preserve">General damages. This includes tainting of one’s dignity, respect or feelings caused by the discrimination. </w:t>
      </w:r>
    </w:p>
    <w:p w14:paraId="3FF8DC16" w14:textId="77777777" w:rsidR="004123DA" w:rsidRPr="004123DA" w:rsidRDefault="00691AA9" w:rsidP="004123DA">
      <w:pPr>
        <w:pStyle w:val="ListParagraph"/>
        <w:numPr>
          <w:ilvl w:val="0"/>
          <w:numId w:val="4"/>
        </w:numPr>
        <w:spacing w:after="0" w:line="480" w:lineRule="auto"/>
        <w:rPr>
          <w:rFonts w:ascii="Times New Roman" w:hAnsi="Times New Roman" w:cs="Times New Roman"/>
          <w:sz w:val="24"/>
          <w:szCs w:val="24"/>
        </w:rPr>
      </w:pPr>
      <w:r w:rsidRPr="004123DA">
        <w:rPr>
          <w:rFonts w:ascii="Times New Roman" w:hAnsi="Times New Roman" w:cs="Times New Roman"/>
          <w:sz w:val="24"/>
          <w:szCs w:val="24"/>
        </w:rPr>
        <w:t>Interest on any of the remedies.</w:t>
      </w:r>
    </w:p>
    <w:p w14:paraId="6F615E26" w14:textId="09633A0B" w:rsidR="004123DA" w:rsidRPr="004123DA" w:rsidRDefault="00691AA9" w:rsidP="00381031">
      <w:pPr>
        <w:spacing w:after="0" w:line="480" w:lineRule="auto"/>
        <w:ind w:firstLine="720"/>
        <w:contextualSpacing/>
        <w:rPr>
          <w:rFonts w:ascii="Times New Roman" w:hAnsi="Times New Roman" w:cs="Times New Roman"/>
          <w:sz w:val="24"/>
          <w:szCs w:val="24"/>
        </w:rPr>
      </w:pPr>
      <w:r w:rsidRPr="004123DA">
        <w:rPr>
          <w:rFonts w:ascii="Times New Roman" w:hAnsi="Times New Roman" w:cs="Times New Roman"/>
          <w:sz w:val="24"/>
          <w:szCs w:val="24"/>
        </w:rPr>
        <w:t>If the Human Rights Tribunal of Ontario (HRTO) determines that there are multiple cases of discrimination, numerous awards may be available to the offended. The monetary awards are, in most cases, seen to be very law. These necessities the settling of such events in courts where the high amount required will be awarded.</w:t>
      </w:r>
      <w:r w:rsidR="00381031">
        <w:rPr>
          <w:rFonts w:ascii="Times New Roman" w:hAnsi="Times New Roman" w:cs="Times New Roman"/>
          <w:sz w:val="24"/>
          <w:szCs w:val="24"/>
        </w:rPr>
        <w:t xml:space="preserve"> </w:t>
      </w:r>
      <w:r w:rsidRPr="004123DA">
        <w:rPr>
          <w:rFonts w:ascii="Times New Roman" w:hAnsi="Times New Roman" w:cs="Times New Roman"/>
          <w:sz w:val="24"/>
          <w:szCs w:val="24"/>
        </w:rPr>
        <w:t>There are non-monetary remedies available (</w:t>
      </w:r>
      <w:proofErr w:type="spellStart"/>
      <w:r w:rsidRPr="004123DA">
        <w:rPr>
          <w:rFonts w:ascii="Times New Roman" w:hAnsi="Times New Roman" w:cs="Times New Roman"/>
          <w:sz w:val="24"/>
          <w:szCs w:val="24"/>
        </w:rPr>
        <w:t>Djick</w:t>
      </w:r>
      <w:proofErr w:type="spellEnd"/>
      <w:r w:rsidRPr="004123DA">
        <w:rPr>
          <w:rFonts w:ascii="Times New Roman" w:hAnsi="Times New Roman" w:cs="Times New Roman"/>
          <w:sz w:val="24"/>
          <w:szCs w:val="24"/>
        </w:rPr>
        <w:t xml:space="preserve"> 2018). Examples of non-monetary remedies include providing housing to the applicant, job reinstatement, correcting the </w:t>
      </w:r>
      <w:r w:rsidR="00B42280" w:rsidRPr="004123DA">
        <w:rPr>
          <w:rFonts w:ascii="Times New Roman" w:hAnsi="Times New Roman" w:cs="Times New Roman"/>
          <w:sz w:val="24"/>
          <w:szCs w:val="24"/>
        </w:rPr>
        <w:t>behavior</w:t>
      </w:r>
      <w:r w:rsidRPr="004123DA">
        <w:rPr>
          <w:rFonts w:ascii="Times New Roman" w:hAnsi="Times New Roman" w:cs="Times New Roman"/>
          <w:sz w:val="24"/>
          <w:szCs w:val="24"/>
        </w:rPr>
        <w:t xml:space="preserve"> and allowing the applicant to become a member.  </w:t>
      </w:r>
    </w:p>
    <w:p w14:paraId="0565DC0F" w14:textId="77777777" w:rsidR="004123DA" w:rsidRP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lastRenderedPageBreak/>
        <w:t xml:space="preserve"> There are also public interest remedies. This is a remedy that ensures that there is future compliance with the code. The public interest remedy does not have a direct benefit to the applicant. Instead, it is an action whereby the respondent can be ordered to take to prevent such a case of discrimination from occurring again in the future. The applicant can order the remedy of public interest during the application. The HRTO can also order it on its initiative. Some of the examples of the public interest remedies are changing the hiring practices, development of new practices, requiring human rights training for the staff and management and developing human rights policies and compliant process. </w:t>
      </w:r>
    </w:p>
    <w:p w14:paraId="2FB7CF7E" w14:textId="4EEBC556" w:rsidR="004123DA" w:rsidRDefault="00691AA9" w:rsidP="004123DA">
      <w:pPr>
        <w:spacing w:after="0" w:line="480" w:lineRule="auto"/>
        <w:contextualSpacing/>
        <w:rPr>
          <w:rFonts w:ascii="Times New Roman" w:hAnsi="Times New Roman" w:cs="Times New Roman"/>
          <w:sz w:val="24"/>
          <w:szCs w:val="24"/>
        </w:rPr>
      </w:pPr>
      <w:r w:rsidRPr="004123DA">
        <w:rPr>
          <w:rFonts w:ascii="Times New Roman" w:hAnsi="Times New Roman" w:cs="Times New Roman"/>
          <w:sz w:val="24"/>
          <w:szCs w:val="24"/>
        </w:rPr>
        <w:t xml:space="preserve"> In conclusion, human rights are essential and should be protected from the violation. Those who violate human rights should be punished, while those whose rights have been violated should have a remedy to compensate for their violated rights. These bring about the necessity of having several remedies for the violated human rights. </w:t>
      </w:r>
    </w:p>
    <w:p w14:paraId="10B596F0" w14:textId="5BA3FD83" w:rsidR="00081F7D" w:rsidRPr="00DD76A1" w:rsidRDefault="005351B9" w:rsidP="005351B9">
      <w:pPr>
        <w:spacing w:after="0" w:line="480" w:lineRule="auto"/>
        <w:jc w:val="center"/>
        <w:rPr>
          <w:rFonts w:ascii="Times New Roman" w:hAnsi="Times New Roman" w:cs="Times New Roman"/>
          <w:b/>
          <w:bCs/>
          <w:sz w:val="24"/>
          <w:szCs w:val="24"/>
        </w:rPr>
      </w:pPr>
      <w:r w:rsidRPr="00DD76A1">
        <w:rPr>
          <w:rFonts w:ascii="Times New Roman" w:hAnsi="Times New Roman" w:cs="Times New Roman"/>
          <w:b/>
          <w:bCs/>
          <w:sz w:val="24"/>
          <w:szCs w:val="24"/>
        </w:rPr>
        <w:t>European Constitutional law</w:t>
      </w:r>
    </w:p>
    <w:p w14:paraId="0AD1F74E" w14:textId="7B7BC2A4" w:rsidR="004123DA" w:rsidRPr="00DD76A1" w:rsidRDefault="00DD76A1" w:rsidP="004123DA">
      <w:pPr>
        <w:spacing w:after="0" w:line="480" w:lineRule="auto"/>
        <w:contextualSpacing/>
        <w:rPr>
          <w:rFonts w:ascii="Times New Roman" w:hAnsi="Times New Roman" w:cs="Times New Roman"/>
          <w:b/>
          <w:bCs/>
          <w:i/>
          <w:iCs/>
          <w:sz w:val="24"/>
          <w:szCs w:val="24"/>
        </w:rPr>
      </w:pPr>
      <w:r w:rsidRPr="00DD76A1">
        <w:rPr>
          <w:rFonts w:ascii="Times New Roman" w:hAnsi="Times New Roman" w:cs="Times New Roman"/>
          <w:b/>
          <w:bCs/>
          <w:i/>
          <w:iCs/>
          <w:sz w:val="24"/>
          <w:szCs w:val="24"/>
        </w:rPr>
        <w:t>Decision making within the European Union is often described as being undemocratic. Discuss the extent to which this is correct, considering the institutions of the European Union and their law-making powers.</w:t>
      </w:r>
    </w:p>
    <w:p w14:paraId="77F41F7E" w14:textId="77777777" w:rsidR="00DD76A1" w:rsidRPr="009432B8" w:rsidRDefault="00DD76A1" w:rsidP="00DD76A1">
      <w:pPr>
        <w:spacing w:after="0" w:line="480" w:lineRule="auto"/>
        <w:ind w:firstLine="720"/>
        <w:contextualSpacing/>
        <w:rPr>
          <w:rFonts w:ascii="Times New Roman" w:hAnsi="Times New Roman" w:cs="Times New Roman"/>
          <w:sz w:val="24"/>
          <w:szCs w:val="24"/>
        </w:rPr>
      </w:pPr>
      <w:r w:rsidRPr="009432B8">
        <w:rPr>
          <w:rFonts w:ascii="Times New Roman" w:hAnsi="Times New Roman" w:cs="Times New Roman"/>
          <w:sz w:val="24"/>
          <w:szCs w:val="24"/>
        </w:rPr>
        <w:t>Majority of the Eurosceptics can agree with the claim that the European Union is undemocratic super state (</w:t>
      </w:r>
      <w:proofErr w:type="spellStart"/>
      <w:r w:rsidRPr="009432B8">
        <w:rPr>
          <w:rFonts w:ascii="Times New Roman" w:hAnsi="Times New Roman" w:cs="Times New Roman"/>
          <w:sz w:val="24"/>
          <w:szCs w:val="24"/>
        </w:rPr>
        <w:t>Mounk</w:t>
      </w:r>
      <w:proofErr w:type="spellEnd"/>
      <w:r w:rsidRPr="009432B8">
        <w:rPr>
          <w:rFonts w:ascii="Times New Roman" w:hAnsi="Times New Roman" w:cs="Times New Roman"/>
          <w:sz w:val="24"/>
          <w:szCs w:val="24"/>
        </w:rPr>
        <w:t xml:space="preserve"> 2018). It forces meaningless diktats to the European people. Democracy is the rule of the majority. This means that the majority’s opinion is followed in a democratic state. However, this is different in the case of an undemocratic state like the European Union.</w:t>
      </w:r>
    </w:p>
    <w:p w14:paraId="6B6921C0" w14:textId="77777777" w:rsidR="00DD76A1" w:rsidRPr="009432B8" w:rsidRDefault="00DD76A1" w:rsidP="00DD76A1">
      <w:pPr>
        <w:spacing w:after="0" w:line="480" w:lineRule="auto"/>
        <w:contextualSpacing/>
        <w:rPr>
          <w:rFonts w:ascii="Times New Roman" w:hAnsi="Times New Roman" w:cs="Times New Roman"/>
          <w:sz w:val="24"/>
          <w:szCs w:val="24"/>
        </w:rPr>
      </w:pPr>
      <w:r w:rsidRPr="009432B8">
        <w:rPr>
          <w:rFonts w:ascii="Times New Roman" w:hAnsi="Times New Roman" w:cs="Times New Roman"/>
          <w:sz w:val="24"/>
          <w:szCs w:val="24"/>
        </w:rPr>
        <w:tab/>
        <w:t xml:space="preserve">Campaigners such as Boris Johnson, Michael Gove and Gisela Stuart describes the US EU as a dysfunctional bureaucracy which does not exercise democracy. Jeremy Corbyn was </w:t>
      </w:r>
      <w:r w:rsidRPr="009432B8">
        <w:rPr>
          <w:rFonts w:ascii="Times New Roman" w:hAnsi="Times New Roman" w:cs="Times New Roman"/>
          <w:sz w:val="24"/>
          <w:szCs w:val="24"/>
        </w:rPr>
        <w:lastRenderedPageBreak/>
        <w:t xml:space="preserve">against the Maastricht treaty in the year 1993. This was because the EU handed over its control to some unelected bankers. Recently, the leader of labor has stated that the EU has suffered from democratic problems for a long time. The insides of the European Union have taken a lot of time fretting about the democratic deficit. This is a term that was coined by David Marquand who was a political scientist in 1979. </w:t>
      </w:r>
    </w:p>
    <w:p w14:paraId="3B40C20E" w14:textId="77777777" w:rsidR="00DD76A1" w:rsidRPr="009432B8" w:rsidRDefault="00DD76A1" w:rsidP="00DD76A1">
      <w:pPr>
        <w:spacing w:after="0" w:line="480" w:lineRule="auto"/>
        <w:contextualSpacing/>
        <w:rPr>
          <w:rFonts w:ascii="Times New Roman" w:hAnsi="Times New Roman" w:cs="Times New Roman"/>
          <w:sz w:val="24"/>
          <w:szCs w:val="24"/>
        </w:rPr>
      </w:pPr>
      <w:r w:rsidRPr="009432B8">
        <w:rPr>
          <w:rFonts w:ascii="Times New Roman" w:hAnsi="Times New Roman" w:cs="Times New Roman"/>
          <w:sz w:val="24"/>
          <w:szCs w:val="24"/>
        </w:rPr>
        <w:tab/>
        <w:t>It is only democratic states that can join the European Union which is different from the united nations (</w:t>
      </w:r>
      <w:proofErr w:type="spellStart"/>
      <w:r w:rsidRPr="009432B8">
        <w:rPr>
          <w:rFonts w:ascii="Times New Roman" w:hAnsi="Times New Roman" w:cs="Times New Roman"/>
          <w:sz w:val="24"/>
          <w:szCs w:val="24"/>
        </w:rPr>
        <w:t>Arpino</w:t>
      </w:r>
      <w:proofErr w:type="spellEnd"/>
      <w:r w:rsidRPr="009432B8">
        <w:rPr>
          <w:rFonts w:ascii="Times New Roman" w:hAnsi="Times New Roman" w:cs="Times New Roman"/>
          <w:sz w:val="24"/>
          <w:szCs w:val="24"/>
        </w:rPr>
        <w:t xml:space="preserve"> and </w:t>
      </w:r>
      <w:proofErr w:type="spellStart"/>
      <w:r w:rsidRPr="009432B8">
        <w:rPr>
          <w:rFonts w:ascii="Times New Roman" w:hAnsi="Times New Roman" w:cs="Times New Roman"/>
          <w:sz w:val="24"/>
          <w:szCs w:val="24"/>
        </w:rPr>
        <w:t>Obydenkova</w:t>
      </w:r>
      <w:proofErr w:type="spellEnd"/>
      <w:r w:rsidRPr="009432B8">
        <w:rPr>
          <w:rFonts w:ascii="Times New Roman" w:hAnsi="Times New Roman" w:cs="Times New Roman"/>
          <w:sz w:val="24"/>
          <w:szCs w:val="24"/>
        </w:rPr>
        <w:t xml:space="preserve"> 2019). Theoretically, the member states of the European union that slide back on standards of lack of democracy can be sanctioned. However, it is easier when said that when done. Pro-Europeans claim that the EU should reconstitute its institutions so that they can be more accountable. On the other hand, Eurosceptics claim that the European nations should deduct their powers and regularly campaign withdrawal from the European Union.</w:t>
      </w:r>
    </w:p>
    <w:p w14:paraId="016FE649" w14:textId="557AD489" w:rsidR="00B61F81" w:rsidRDefault="00DD76A1" w:rsidP="00DD76A1">
      <w:pPr>
        <w:spacing w:after="0" w:line="480" w:lineRule="auto"/>
        <w:contextualSpacing/>
        <w:rPr>
          <w:rFonts w:ascii="Times New Roman" w:hAnsi="Times New Roman" w:cs="Times New Roman"/>
          <w:sz w:val="24"/>
          <w:szCs w:val="24"/>
        </w:rPr>
      </w:pPr>
      <w:r w:rsidRPr="009432B8">
        <w:rPr>
          <w:rFonts w:ascii="Times New Roman" w:hAnsi="Times New Roman" w:cs="Times New Roman"/>
          <w:sz w:val="24"/>
          <w:szCs w:val="24"/>
        </w:rPr>
        <w:tab/>
        <w:t>There are no unelected bureaucrats in charge. The institution is less of a government and more of civil service. It has 28 commissioners where each of the commissioners comes from each county. This does not mean that the European Union is powerless. It is capable of blocking mergers and multinational companies too.</w:t>
      </w:r>
    </w:p>
    <w:p w14:paraId="643867A1" w14:textId="62EC7FDA" w:rsidR="00DD76A1" w:rsidRDefault="00DD76A1" w:rsidP="00DD76A1">
      <w:pPr>
        <w:spacing w:after="0" w:line="480" w:lineRule="auto"/>
        <w:contextualSpacing/>
        <w:rPr>
          <w:rFonts w:ascii="Times New Roman" w:hAnsi="Times New Roman" w:cs="Times New Roman"/>
          <w:sz w:val="24"/>
          <w:szCs w:val="24"/>
        </w:rPr>
      </w:pPr>
    </w:p>
    <w:p w14:paraId="77B7BE04" w14:textId="77777777" w:rsidR="00DD76A1" w:rsidRPr="004123DA" w:rsidRDefault="00DD76A1" w:rsidP="00DD76A1">
      <w:pPr>
        <w:spacing w:after="0" w:line="480" w:lineRule="auto"/>
        <w:contextualSpacing/>
        <w:rPr>
          <w:rFonts w:ascii="Times New Roman" w:hAnsi="Times New Roman" w:cs="Times New Roman"/>
          <w:sz w:val="24"/>
          <w:szCs w:val="24"/>
        </w:rPr>
      </w:pPr>
    </w:p>
    <w:p w14:paraId="4A3DB0FC" w14:textId="3BBB97F4" w:rsidR="00B61F81" w:rsidRPr="004123DA" w:rsidRDefault="00B61F81" w:rsidP="004123DA">
      <w:pPr>
        <w:spacing w:after="0" w:line="480" w:lineRule="auto"/>
        <w:jc w:val="center"/>
        <w:rPr>
          <w:rFonts w:ascii="Times New Roman" w:hAnsi="Times New Roman" w:cs="Times New Roman"/>
          <w:sz w:val="24"/>
          <w:szCs w:val="24"/>
        </w:rPr>
      </w:pPr>
    </w:p>
    <w:p w14:paraId="26C12E67" w14:textId="5C1DF930" w:rsidR="00B61F81" w:rsidRPr="004123DA" w:rsidRDefault="00B61F81" w:rsidP="004123DA">
      <w:pPr>
        <w:spacing w:after="0" w:line="480" w:lineRule="auto"/>
        <w:jc w:val="center"/>
        <w:rPr>
          <w:rFonts w:ascii="Times New Roman" w:hAnsi="Times New Roman" w:cs="Times New Roman"/>
          <w:sz w:val="24"/>
          <w:szCs w:val="24"/>
        </w:rPr>
      </w:pPr>
    </w:p>
    <w:p w14:paraId="04ED8321" w14:textId="26CC308D" w:rsidR="00B61F81" w:rsidRPr="004123DA" w:rsidRDefault="00B61F81" w:rsidP="004123DA">
      <w:pPr>
        <w:spacing w:after="0" w:line="480" w:lineRule="auto"/>
        <w:jc w:val="center"/>
        <w:rPr>
          <w:rFonts w:ascii="Times New Roman" w:hAnsi="Times New Roman" w:cs="Times New Roman"/>
          <w:sz w:val="24"/>
          <w:szCs w:val="24"/>
        </w:rPr>
      </w:pPr>
    </w:p>
    <w:p w14:paraId="181724C9" w14:textId="3EB6616F" w:rsidR="00381031" w:rsidRDefault="00381031" w:rsidP="004123DA">
      <w:pPr>
        <w:spacing w:after="0" w:line="480" w:lineRule="auto"/>
        <w:jc w:val="center"/>
        <w:rPr>
          <w:rFonts w:ascii="Times New Roman" w:hAnsi="Times New Roman" w:cs="Times New Roman"/>
          <w:sz w:val="24"/>
          <w:szCs w:val="24"/>
        </w:rPr>
      </w:pPr>
    </w:p>
    <w:p w14:paraId="44F78096" w14:textId="77777777" w:rsidR="00FB09F2" w:rsidRDefault="00FB09F2" w:rsidP="004123DA">
      <w:pPr>
        <w:spacing w:after="0" w:line="480" w:lineRule="auto"/>
        <w:jc w:val="center"/>
        <w:rPr>
          <w:rFonts w:ascii="Times New Roman" w:hAnsi="Times New Roman" w:cs="Times New Roman"/>
          <w:sz w:val="24"/>
          <w:szCs w:val="24"/>
        </w:rPr>
      </w:pPr>
    </w:p>
    <w:p w14:paraId="4C05C85A" w14:textId="479547FD" w:rsidR="004123DA" w:rsidRPr="004123DA" w:rsidRDefault="00691AA9" w:rsidP="004123DA">
      <w:pPr>
        <w:spacing w:after="0" w:line="480" w:lineRule="auto"/>
        <w:jc w:val="center"/>
        <w:rPr>
          <w:rFonts w:ascii="Times New Roman" w:eastAsia="Times New Roman" w:hAnsi="Times New Roman" w:cs="Times New Roman"/>
          <w:sz w:val="24"/>
          <w:szCs w:val="24"/>
          <w:lang w:eastAsia="en-GB"/>
        </w:rPr>
      </w:pPr>
      <w:r w:rsidRPr="004123DA">
        <w:rPr>
          <w:rFonts w:ascii="Times New Roman" w:hAnsi="Times New Roman" w:cs="Times New Roman"/>
          <w:sz w:val="24"/>
          <w:szCs w:val="24"/>
        </w:rPr>
        <w:lastRenderedPageBreak/>
        <w:t>Reference</w:t>
      </w:r>
    </w:p>
    <w:p w14:paraId="2B3C178A" w14:textId="77777777" w:rsidR="000550B2" w:rsidRPr="009432B8" w:rsidRDefault="000550B2" w:rsidP="00DD76A1">
      <w:pPr>
        <w:spacing w:after="0" w:line="480" w:lineRule="auto"/>
        <w:ind w:left="1080" w:hanging="720"/>
        <w:rPr>
          <w:rFonts w:ascii="Times New Roman" w:hAnsi="Times New Roman" w:cs="Times New Roman"/>
          <w:sz w:val="24"/>
          <w:szCs w:val="24"/>
        </w:rPr>
      </w:pPr>
      <w:proofErr w:type="spellStart"/>
      <w:r w:rsidRPr="009432B8">
        <w:rPr>
          <w:rFonts w:ascii="Times New Roman" w:hAnsi="Times New Roman" w:cs="Times New Roman"/>
          <w:color w:val="222222"/>
          <w:sz w:val="24"/>
          <w:szCs w:val="24"/>
          <w:shd w:val="clear" w:color="auto" w:fill="FFFFFF"/>
        </w:rPr>
        <w:t>Arpino</w:t>
      </w:r>
      <w:proofErr w:type="spellEnd"/>
      <w:r w:rsidRPr="009432B8">
        <w:rPr>
          <w:rFonts w:ascii="Times New Roman" w:hAnsi="Times New Roman" w:cs="Times New Roman"/>
          <w:color w:val="222222"/>
          <w:sz w:val="24"/>
          <w:szCs w:val="24"/>
          <w:shd w:val="clear" w:color="auto" w:fill="FFFFFF"/>
        </w:rPr>
        <w:t xml:space="preserve">, B., &amp; </w:t>
      </w:r>
      <w:proofErr w:type="spellStart"/>
      <w:r w:rsidRPr="009432B8">
        <w:rPr>
          <w:rFonts w:ascii="Times New Roman" w:hAnsi="Times New Roman" w:cs="Times New Roman"/>
          <w:color w:val="222222"/>
          <w:sz w:val="24"/>
          <w:szCs w:val="24"/>
          <w:shd w:val="clear" w:color="auto" w:fill="FFFFFF"/>
        </w:rPr>
        <w:t>Obydenkova</w:t>
      </w:r>
      <w:proofErr w:type="spellEnd"/>
      <w:r w:rsidRPr="009432B8">
        <w:rPr>
          <w:rFonts w:ascii="Times New Roman" w:hAnsi="Times New Roman" w:cs="Times New Roman"/>
          <w:color w:val="222222"/>
          <w:sz w:val="24"/>
          <w:szCs w:val="24"/>
          <w:shd w:val="clear" w:color="auto" w:fill="FFFFFF"/>
        </w:rPr>
        <w:t>, A. V. (2019). Democracy and Political Trust Before and After the Great Recession 2008: The European Union and the United Nations. </w:t>
      </w:r>
      <w:r w:rsidRPr="009432B8">
        <w:rPr>
          <w:rFonts w:ascii="Times New Roman" w:hAnsi="Times New Roman" w:cs="Times New Roman"/>
          <w:i/>
          <w:iCs/>
          <w:color w:val="222222"/>
          <w:sz w:val="24"/>
          <w:szCs w:val="24"/>
          <w:shd w:val="clear" w:color="auto" w:fill="FFFFFF"/>
        </w:rPr>
        <w:t>Social Indicators Research</w:t>
      </w:r>
      <w:r w:rsidRPr="009432B8">
        <w:rPr>
          <w:rFonts w:ascii="Times New Roman" w:hAnsi="Times New Roman" w:cs="Times New Roman"/>
          <w:color w:val="222222"/>
          <w:sz w:val="24"/>
          <w:szCs w:val="24"/>
          <w:shd w:val="clear" w:color="auto" w:fill="FFFFFF"/>
        </w:rPr>
        <w:t>, 1-21.</w:t>
      </w:r>
    </w:p>
    <w:p w14:paraId="3B5FC24E"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proofErr w:type="spellStart"/>
      <w:r w:rsidRPr="004123DA">
        <w:rPr>
          <w:rFonts w:ascii="Times New Roman" w:hAnsi="Times New Roman" w:cs="Times New Roman"/>
          <w:color w:val="222222"/>
          <w:sz w:val="24"/>
          <w:szCs w:val="24"/>
          <w:shd w:val="clear" w:color="auto" w:fill="FFFFFF"/>
        </w:rPr>
        <w:t>Awolich</w:t>
      </w:r>
      <w:proofErr w:type="spellEnd"/>
      <w:r w:rsidRPr="004123DA">
        <w:rPr>
          <w:rFonts w:ascii="Times New Roman" w:hAnsi="Times New Roman" w:cs="Times New Roman"/>
          <w:color w:val="222222"/>
          <w:sz w:val="24"/>
          <w:szCs w:val="24"/>
          <w:shd w:val="clear" w:color="auto" w:fill="FFFFFF"/>
        </w:rPr>
        <w:t>, A. (2016). The Challenge of Constitutionalism and Separation of Powers Doctrine in South Sudan.</w:t>
      </w:r>
    </w:p>
    <w:p w14:paraId="238A3F0D" w14:textId="77777777" w:rsidR="000550B2" w:rsidRPr="004123DA" w:rsidRDefault="000550B2" w:rsidP="004123DA">
      <w:pPr>
        <w:spacing w:after="0" w:line="480" w:lineRule="auto"/>
        <w:ind w:left="1080" w:hanging="720"/>
        <w:rPr>
          <w:rFonts w:ascii="Times New Roman" w:eastAsia="Arial Unicode MS" w:hAnsi="Times New Roman" w:cs="Times New Roman"/>
          <w:color w:val="000000"/>
          <w:sz w:val="24"/>
          <w:szCs w:val="24"/>
          <w:shd w:val="clear" w:color="auto" w:fill="FFFFFF"/>
        </w:rPr>
      </w:pPr>
      <w:r w:rsidRPr="004123DA">
        <w:rPr>
          <w:rFonts w:ascii="Times New Roman" w:eastAsia="Times New Roman" w:hAnsi="Times New Roman" w:cs="Times New Roman"/>
          <w:sz w:val="24"/>
          <w:szCs w:val="24"/>
          <w:lang w:eastAsia="en-GB"/>
        </w:rPr>
        <w:t>Berger, F. (2019). Climate Change–A Matter of Life or Death: A Study of the Connection Between Climate Change and the Right to Life in the European Convention on Human Rights.</w:t>
      </w:r>
    </w:p>
    <w:p w14:paraId="09A19A10"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r w:rsidRPr="004123DA">
        <w:rPr>
          <w:rFonts w:ascii="Times New Roman" w:eastAsia="Times New Roman" w:hAnsi="Times New Roman" w:cs="Times New Roman"/>
          <w:sz w:val="24"/>
          <w:szCs w:val="24"/>
          <w:lang w:eastAsia="en-GB"/>
        </w:rPr>
        <w:t xml:space="preserve">Black, I. (2018). Refusing life-prolonging medical treatment and the ECHR. </w:t>
      </w:r>
      <w:r w:rsidRPr="004123DA">
        <w:rPr>
          <w:rFonts w:ascii="Times New Roman" w:eastAsia="Times New Roman" w:hAnsi="Times New Roman" w:cs="Times New Roman"/>
          <w:i/>
          <w:iCs/>
          <w:sz w:val="24"/>
          <w:szCs w:val="24"/>
          <w:lang w:eastAsia="en-GB"/>
        </w:rPr>
        <w:t>Oxford journal of legal studies</w:t>
      </w:r>
      <w:r w:rsidRPr="004123DA">
        <w:rPr>
          <w:rFonts w:ascii="Times New Roman" w:eastAsia="Times New Roman" w:hAnsi="Times New Roman" w:cs="Times New Roman"/>
          <w:sz w:val="24"/>
          <w:szCs w:val="24"/>
          <w:lang w:eastAsia="en-GB"/>
        </w:rPr>
        <w:t xml:space="preserve">, </w:t>
      </w:r>
      <w:r w:rsidRPr="004123DA">
        <w:rPr>
          <w:rFonts w:ascii="Times New Roman" w:eastAsia="Times New Roman" w:hAnsi="Times New Roman" w:cs="Times New Roman"/>
          <w:i/>
          <w:iCs/>
          <w:sz w:val="24"/>
          <w:szCs w:val="24"/>
          <w:lang w:eastAsia="en-GB"/>
        </w:rPr>
        <w:t>38</w:t>
      </w:r>
      <w:r w:rsidRPr="004123DA">
        <w:rPr>
          <w:rFonts w:ascii="Times New Roman" w:eastAsia="Times New Roman" w:hAnsi="Times New Roman" w:cs="Times New Roman"/>
          <w:sz w:val="24"/>
          <w:szCs w:val="24"/>
          <w:lang w:eastAsia="en-GB"/>
        </w:rPr>
        <w:t>(2), 299-327.</w:t>
      </w:r>
    </w:p>
    <w:p w14:paraId="179FFE1B"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r w:rsidRPr="004123DA">
        <w:rPr>
          <w:rFonts w:ascii="Times New Roman" w:eastAsia="Times New Roman" w:hAnsi="Times New Roman" w:cs="Times New Roman"/>
          <w:sz w:val="24"/>
          <w:szCs w:val="24"/>
          <w:lang w:eastAsia="en-GB"/>
        </w:rPr>
        <w:t>Foster, S., &amp; Leigh, G. (2016). Self-</w:t>
      </w:r>
      <w:proofErr w:type="spellStart"/>
      <w:r w:rsidRPr="004123DA">
        <w:rPr>
          <w:rFonts w:ascii="Times New Roman" w:eastAsia="Times New Roman" w:hAnsi="Times New Roman" w:cs="Times New Roman"/>
          <w:sz w:val="24"/>
          <w:szCs w:val="24"/>
          <w:lang w:eastAsia="en-GB"/>
        </w:rPr>
        <w:t>defence</w:t>
      </w:r>
      <w:proofErr w:type="spellEnd"/>
      <w:r w:rsidRPr="004123DA">
        <w:rPr>
          <w:rFonts w:ascii="Times New Roman" w:eastAsia="Times New Roman" w:hAnsi="Times New Roman" w:cs="Times New Roman"/>
          <w:sz w:val="24"/>
          <w:szCs w:val="24"/>
          <w:lang w:eastAsia="en-GB"/>
        </w:rPr>
        <w:t xml:space="preserve"> and the Right to Life: The Use of Lethal or Potentially Lethal Force, UK Domestic Law, the Common Law and Article 2 ECHR. </w:t>
      </w:r>
      <w:r w:rsidRPr="004123DA">
        <w:rPr>
          <w:rFonts w:ascii="Times New Roman" w:eastAsia="Times New Roman" w:hAnsi="Times New Roman" w:cs="Times New Roman"/>
          <w:i/>
          <w:iCs/>
          <w:sz w:val="24"/>
          <w:szCs w:val="24"/>
          <w:lang w:eastAsia="en-GB"/>
        </w:rPr>
        <w:t>European Human Rights Law Review</w:t>
      </w:r>
      <w:r w:rsidRPr="004123DA">
        <w:rPr>
          <w:rFonts w:ascii="Times New Roman" w:eastAsia="Times New Roman" w:hAnsi="Times New Roman" w:cs="Times New Roman"/>
          <w:sz w:val="24"/>
          <w:szCs w:val="24"/>
          <w:lang w:eastAsia="en-GB"/>
        </w:rPr>
        <w:t xml:space="preserve">, </w:t>
      </w:r>
      <w:r w:rsidRPr="004123DA">
        <w:rPr>
          <w:rFonts w:ascii="Times New Roman" w:eastAsia="Times New Roman" w:hAnsi="Times New Roman" w:cs="Times New Roman"/>
          <w:i/>
          <w:iCs/>
          <w:sz w:val="24"/>
          <w:szCs w:val="24"/>
          <w:lang w:eastAsia="en-GB"/>
        </w:rPr>
        <w:t>398</w:t>
      </w:r>
      <w:r w:rsidRPr="004123DA">
        <w:rPr>
          <w:rFonts w:ascii="Times New Roman" w:eastAsia="Times New Roman" w:hAnsi="Times New Roman" w:cs="Times New Roman"/>
          <w:sz w:val="24"/>
          <w:szCs w:val="24"/>
          <w:lang w:eastAsia="en-GB"/>
        </w:rPr>
        <w:t>.</w:t>
      </w:r>
    </w:p>
    <w:p w14:paraId="6FE3FE50"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r w:rsidRPr="004123DA">
        <w:rPr>
          <w:rFonts w:ascii="Times New Roman" w:eastAsia="Times New Roman" w:hAnsi="Times New Roman" w:cs="Times New Roman"/>
          <w:sz w:val="24"/>
          <w:szCs w:val="24"/>
          <w:lang w:eastAsia="en-GB"/>
        </w:rPr>
        <w:t xml:space="preserve">Hendriks, A. C. (2019, April). End-of-life decisions. Recent jurisprudence of the European Court of Human Rights. In </w:t>
      </w:r>
      <w:r w:rsidRPr="004123DA">
        <w:rPr>
          <w:rFonts w:ascii="Times New Roman" w:eastAsia="Times New Roman" w:hAnsi="Times New Roman" w:cs="Times New Roman"/>
          <w:i/>
          <w:iCs/>
          <w:sz w:val="24"/>
          <w:szCs w:val="24"/>
          <w:lang w:eastAsia="en-GB"/>
        </w:rPr>
        <w:t>Era Forum</w:t>
      </w:r>
      <w:r w:rsidRPr="004123DA">
        <w:rPr>
          <w:rFonts w:ascii="Times New Roman" w:eastAsia="Times New Roman" w:hAnsi="Times New Roman" w:cs="Times New Roman"/>
          <w:sz w:val="24"/>
          <w:szCs w:val="24"/>
          <w:lang w:eastAsia="en-GB"/>
        </w:rPr>
        <w:t xml:space="preserve"> (Vol. 19, No. 4, pp. 561-570). Springer Berlin Heidelberg.</w:t>
      </w:r>
    </w:p>
    <w:p w14:paraId="18A03F39" w14:textId="77777777" w:rsidR="000550B2" w:rsidRPr="004123DA" w:rsidRDefault="000550B2" w:rsidP="004123DA">
      <w:pPr>
        <w:spacing w:after="0" w:line="480" w:lineRule="auto"/>
        <w:ind w:left="1080" w:hanging="720"/>
        <w:rPr>
          <w:rFonts w:ascii="Times New Roman" w:hAnsi="Times New Roman" w:cs="Times New Roman"/>
          <w:color w:val="222222"/>
          <w:sz w:val="24"/>
          <w:szCs w:val="24"/>
          <w:shd w:val="clear" w:color="auto" w:fill="FFFFFF"/>
        </w:rPr>
      </w:pPr>
      <w:r w:rsidRPr="004123DA">
        <w:rPr>
          <w:rFonts w:ascii="Times New Roman" w:hAnsi="Times New Roman" w:cs="Times New Roman"/>
          <w:color w:val="222222"/>
          <w:sz w:val="24"/>
          <w:szCs w:val="24"/>
          <w:shd w:val="clear" w:color="auto" w:fill="FFFFFF"/>
        </w:rPr>
        <w:t>Martin, J. S. (2018). Private Law Remedies, Human Rights, and Supply Contracts. </w:t>
      </w:r>
      <w:r w:rsidRPr="004123DA">
        <w:rPr>
          <w:rFonts w:ascii="Times New Roman" w:hAnsi="Times New Roman" w:cs="Times New Roman"/>
          <w:i/>
          <w:iCs/>
          <w:color w:val="222222"/>
          <w:sz w:val="24"/>
          <w:szCs w:val="24"/>
          <w:shd w:val="clear" w:color="auto" w:fill="FFFFFF"/>
        </w:rPr>
        <w:t>Am. UL Rev.</w:t>
      </w:r>
      <w:r w:rsidRPr="004123DA">
        <w:rPr>
          <w:rFonts w:ascii="Times New Roman" w:hAnsi="Times New Roman" w:cs="Times New Roman"/>
          <w:color w:val="222222"/>
          <w:sz w:val="24"/>
          <w:szCs w:val="24"/>
          <w:shd w:val="clear" w:color="auto" w:fill="FFFFFF"/>
        </w:rPr>
        <w:t>, </w:t>
      </w:r>
      <w:r w:rsidRPr="004123DA">
        <w:rPr>
          <w:rFonts w:ascii="Times New Roman" w:hAnsi="Times New Roman" w:cs="Times New Roman"/>
          <w:i/>
          <w:iCs/>
          <w:color w:val="222222"/>
          <w:sz w:val="24"/>
          <w:szCs w:val="24"/>
          <w:shd w:val="clear" w:color="auto" w:fill="FFFFFF"/>
        </w:rPr>
        <w:t>68</w:t>
      </w:r>
      <w:r w:rsidRPr="004123DA">
        <w:rPr>
          <w:rFonts w:ascii="Times New Roman" w:hAnsi="Times New Roman" w:cs="Times New Roman"/>
          <w:color w:val="222222"/>
          <w:sz w:val="24"/>
          <w:szCs w:val="24"/>
          <w:shd w:val="clear" w:color="auto" w:fill="FFFFFF"/>
        </w:rPr>
        <w:t>, 1781.</w:t>
      </w:r>
    </w:p>
    <w:p w14:paraId="56A6206F"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proofErr w:type="spellStart"/>
      <w:r w:rsidRPr="004123DA">
        <w:rPr>
          <w:rFonts w:ascii="Times New Roman" w:eastAsia="Times New Roman" w:hAnsi="Times New Roman" w:cs="Times New Roman"/>
          <w:sz w:val="24"/>
          <w:szCs w:val="24"/>
          <w:lang w:eastAsia="en-GB"/>
        </w:rPr>
        <w:t>Mavronicola</w:t>
      </w:r>
      <w:proofErr w:type="spellEnd"/>
      <w:r w:rsidRPr="004123DA">
        <w:rPr>
          <w:rFonts w:ascii="Times New Roman" w:eastAsia="Times New Roman" w:hAnsi="Times New Roman" w:cs="Times New Roman"/>
          <w:sz w:val="24"/>
          <w:szCs w:val="24"/>
          <w:lang w:eastAsia="en-GB"/>
        </w:rPr>
        <w:t xml:space="preserve">, N. (2017). Taking Life and Liberty Seriously: Reconsidering Criminal Liability Under Article 2 of the ECHR. </w:t>
      </w:r>
      <w:r w:rsidRPr="004123DA">
        <w:rPr>
          <w:rFonts w:ascii="Times New Roman" w:eastAsia="Times New Roman" w:hAnsi="Times New Roman" w:cs="Times New Roman"/>
          <w:i/>
          <w:iCs/>
          <w:sz w:val="24"/>
          <w:szCs w:val="24"/>
          <w:lang w:eastAsia="en-GB"/>
        </w:rPr>
        <w:t>The Modern Law Review</w:t>
      </w:r>
      <w:r w:rsidRPr="004123DA">
        <w:rPr>
          <w:rFonts w:ascii="Times New Roman" w:eastAsia="Times New Roman" w:hAnsi="Times New Roman" w:cs="Times New Roman"/>
          <w:sz w:val="24"/>
          <w:szCs w:val="24"/>
          <w:lang w:eastAsia="en-GB"/>
        </w:rPr>
        <w:t xml:space="preserve">, </w:t>
      </w:r>
      <w:r w:rsidRPr="004123DA">
        <w:rPr>
          <w:rFonts w:ascii="Times New Roman" w:eastAsia="Times New Roman" w:hAnsi="Times New Roman" w:cs="Times New Roman"/>
          <w:i/>
          <w:iCs/>
          <w:sz w:val="24"/>
          <w:szCs w:val="24"/>
          <w:lang w:eastAsia="en-GB"/>
        </w:rPr>
        <w:t>80</w:t>
      </w:r>
      <w:r w:rsidRPr="004123DA">
        <w:rPr>
          <w:rFonts w:ascii="Times New Roman" w:eastAsia="Times New Roman" w:hAnsi="Times New Roman" w:cs="Times New Roman"/>
          <w:sz w:val="24"/>
          <w:szCs w:val="24"/>
          <w:lang w:eastAsia="en-GB"/>
        </w:rPr>
        <w:t>(6), 1026-1051.</w:t>
      </w:r>
    </w:p>
    <w:p w14:paraId="3E371B0A" w14:textId="77777777" w:rsidR="000550B2" w:rsidRPr="004123DA" w:rsidRDefault="000550B2" w:rsidP="00DD76A1">
      <w:pPr>
        <w:spacing w:after="0" w:line="480" w:lineRule="auto"/>
        <w:ind w:left="1080" w:hanging="720"/>
        <w:rPr>
          <w:rFonts w:ascii="Times New Roman" w:hAnsi="Times New Roman" w:cs="Times New Roman"/>
          <w:color w:val="222222"/>
          <w:sz w:val="24"/>
          <w:szCs w:val="24"/>
          <w:shd w:val="clear" w:color="auto" w:fill="FFFFFF"/>
        </w:rPr>
      </w:pPr>
      <w:proofErr w:type="spellStart"/>
      <w:r w:rsidRPr="009432B8">
        <w:rPr>
          <w:rFonts w:ascii="Times New Roman" w:hAnsi="Times New Roman" w:cs="Times New Roman"/>
          <w:color w:val="222222"/>
          <w:sz w:val="24"/>
          <w:szCs w:val="24"/>
          <w:shd w:val="clear" w:color="auto" w:fill="FFFFFF"/>
        </w:rPr>
        <w:t>Mounk</w:t>
      </w:r>
      <w:proofErr w:type="spellEnd"/>
      <w:r w:rsidRPr="009432B8">
        <w:rPr>
          <w:rFonts w:ascii="Times New Roman" w:hAnsi="Times New Roman" w:cs="Times New Roman"/>
          <w:color w:val="222222"/>
          <w:sz w:val="24"/>
          <w:szCs w:val="24"/>
          <w:shd w:val="clear" w:color="auto" w:fill="FFFFFF"/>
        </w:rPr>
        <w:t>, Y. (2018). The undemocratic dilemma. </w:t>
      </w:r>
      <w:r w:rsidRPr="009432B8">
        <w:rPr>
          <w:rFonts w:ascii="Times New Roman" w:hAnsi="Times New Roman" w:cs="Times New Roman"/>
          <w:i/>
          <w:iCs/>
          <w:color w:val="222222"/>
          <w:sz w:val="24"/>
          <w:szCs w:val="24"/>
          <w:shd w:val="clear" w:color="auto" w:fill="FFFFFF"/>
        </w:rPr>
        <w:t>Journal of Democracy</w:t>
      </w:r>
      <w:r w:rsidRPr="009432B8">
        <w:rPr>
          <w:rFonts w:ascii="Times New Roman" w:hAnsi="Times New Roman" w:cs="Times New Roman"/>
          <w:color w:val="222222"/>
          <w:sz w:val="24"/>
          <w:szCs w:val="24"/>
          <w:shd w:val="clear" w:color="auto" w:fill="FFFFFF"/>
        </w:rPr>
        <w:t>, </w:t>
      </w:r>
      <w:r w:rsidRPr="009432B8">
        <w:rPr>
          <w:rFonts w:ascii="Times New Roman" w:hAnsi="Times New Roman" w:cs="Times New Roman"/>
          <w:i/>
          <w:iCs/>
          <w:color w:val="222222"/>
          <w:sz w:val="24"/>
          <w:szCs w:val="24"/>
          <w:shd w:val="clear" w:color="auto" w:fill="FFFFFF"/>
        </w:rPr>
        <w:t>29</w:t>
      </w:r>
      <w:r w:rsidRPr="009432B8">
        <w:rPr>
          <w:rFonts w:ascii="Times New Roman" w:hAnsi="Times New Roman" w:cs="Times New Roman"/>
          <w:color w:val="222222"/>
          <w:sz w:val="24"/>
          <w:szCs w:val="24"/>
          <w:shd w:val="clear" w:color="auto" w:fill="FFFFFF"/>
        </w:rPr>
        <w:t>(2), 98-112.</w:t>
      </w:r>
    </w:p>
    <w:p w14:paraId="63152ADE" w14:textId="77777777" w:rsidR="000550B2" w:rsidRPr="004123DA" w:rsidRDefault="000550B2" w:rsidP="004123DA">
      <w:pPr>
        <w:spacing w:after="0" w:line="480" w:lineRule="auto"/>
        <w:ind w:left="1080" w:hanging="720"/>
        <w:rPr>
          <w:rFonts w:ascii="Times New Roman" w:hAnsi="Times New Roman" w:cs="Times New Roman"/>
          <w:sz w:val="24"/>
          <w:szCs w:val="24"/>
        </w:rPr>
      </w:pPr>
      <w:r w:rsidRPr="004123DA">
        <w:rPr>
          <w:rFonts w:ascii="Times New Roman" w:hAnsi="Times New Roman" w:cs="Times New Roman"/>
          <w:sz w:val="24"/>
          <w:szCs w:val="24"/>
        </w:rPr>
        <w:t>Official Journal of the European Union (2007) C 303/17 - 14.12.</w:t>
      </w:r>
    </w:p>
    <w:p w14:paraId="3E1A777E" w14:textId="77777777" w:rsidR="000550B2" w:rsidRPr="004123DA" w:rsidRDefault="000550B2" w:rsidP="004123DA">
      <w:pPr>
        <w:spacing w:after="0" w:line="480" w:lineRule="auto"/>
        <w:ind w:left="1080" w:hanging="720"/>
        <w:rPr>
          <w:rFonts w:ascii="Times New Roman" w:eastAsia="Times New Roman" w:hAnsi="Times New Roman" w:cs="Times New Roman"/>
          <w:sz w:val="24"/>
          <w:szCs w:val="24"/>
          <w:lang w:eastAsia="en-GB"/>
        </w:rPr>
      </w:pPr>
      <w:r w:rsidRPr="004123DA">
        <w:rPr>
          <w:rFonts w:ascii="Times New Roman" w:eastAsia="Times New Roman" w:hAnsi="Times New Roman" w:cs="Times New Roman"/>
          <w:sz w:val="24"/>
          <w:szCs w:val="24"/>
          <w:lang w:eastAsia="en-GB"/>
        </w:rPr>
        <w:lastRenderedPageBreak/>
        <w:t xml:space="preserve">Skinner, S. (2019). </w:t>
      </w:r>
      <w:r w:rsidRPr="004123DA">
        <w:rPr>
          <w:rFonts w:ascii="Times New Roman" w:eastAsia="Times New Roman" w:hAnsi="Times New Roman" w:cs="Times New Roman"/>
          <w:i/>
          <w:iCs/>
          <w:sz w:val="24"/>
          <w:szCs w:val="24"/>
          <w:lang w:eastAsia="en-GB"/>
        </w:rPr>
        <w:t>Lethal Force, the Right to Life and the ECHR: Narratives of Death and Democracy</w:t>
      </w:r>
      <w:r w:rsidRPr="004123DA">
        <w:rPr>
          <w:rFonts w:ascii="Times New Roman" w:eastAsia="Times New Roman" w:hAnsi="Times New Roman" w:cs="Times New Roman"/>
          <w:sz w:val="24"/>
          <w:szCs w:val="24"/>
          <w:lang w:eastAsia="en-GB"/>
        </w:rPr>
        <w:t>. Bloomsbury Publishing.</w:t>
      </w:r>
    </w:p>
    <w:p w14:paraId="1866E562" w14:textId="77777777" w:rsidR="000550B2" w:rsidRPr="004123DA" w:rsidRDefault="000550B2" w:rsidP="004123DA">
      <w:pPr>
        <w:spacing w:after="0" w:line="480" w:lineRule="auto"/>
        <w:ind w:left="1080" w:hanging="720"/>
        <w:rPr>
          <w:rFonts w:ascii="Times New Roman" w:hAnsi="Times New Roman" w:cs="Times New Roman"/>
          <w:color w:val="222222"/>
          <w:sz w:val="24"/>
          <w:szCs w:val="24"/>
          <w:shd w:val="clear" w:color="auto" w:fill="FFFFFF"/>
        </w:rPr>
      </w:pPr>
      <w:proofErr w:type="spellStart"/>
      <w:r w:rsidRPr="004123DA">
        <w:rPr>
          <w:rFonts w:ascii="Times New Roman" w:hAnsi="Times New Roman" w:cs="Times New Roman"/>
          <w:color w:val="222222"/>
          <w:sz w:val="24"/>
          <w:szCs w:val="24"/>
          <w:shd w:val="clear" w:color="auto" w:fill="FFFFFF"/>
        </w:rPr>
        <w:t>Usami</w:t>
      </w:r>
      <w:proofErr w:type="spellEnd"/>
      <w:r w:rsidRPr="004123DA">
        <w:rPr>
          <w:rFonts w:ascii="Times New Roman" w:hAnsi="Times New Roman" w:cs="Times New Roman"/>
          <w:color w:val="222222"/>
          <w:sz w:val="24"/>
          <w:szCs w:val="24"/>
          <w:shd w:val="clear" w:color="auto" w:fill="FFFFFF"/>
        </w:rPr>
        <w:t>, M. (2017). 19. Retroactive Justice: Trials for Human Rights Violations under a Prior Regime. </w:t>
      </w:r>
      <w:r w:rsidRPr="004123DA">
        <w:rPr>
          <w:rFonts w:ascii="Times New Roman" w:hAnsi="Times New Roman" w:cs="Times New Roman"/>
          <w:i/>
          <w:iCs/>
          <w:color w:val="222222"/>
          <w:sz w:val="24"/>
          <w:szCs w:val="24"/>
          <w:shd w:val="clear" w:color="auto" w:fill="FFFFFF"/>
        </w:rPr>
        <w:t>Revival: Human Rights in Philosophy and Practice (2001)</w:t>
      </w:r>
      <w:r w:rsidRPr="004123DA">
        <w:rPr>
          <w:rFonts w:ascii="Times New Roman" w:hAnsi="Times New Roman" w:cs="Times New Roman"/>
          <w:color w:val="222222"/>
          <w:sz w:val="24"/>
          <w:szCs w:val="24"/>
          <w:shd w:val="clear" w:color="auto" w:fill="FFFFFF"/>
        </w:rPr>
        <w:t>.</w:t>
      </w:r>
    </w:p>
    <w:p w14:paraId="3E7A9474" w14:textId="77777777" w:rsidR="000550B2" w:rsidRPr="004123DA" w:rsidRDefault="000550B2" w:rsidP="004123DA">
      <w:pPr>
        <w:spacing w:after="0" w:line="480" w:lineRule="auto"/>
        <w:ind w:left="1080" w:hanging="720"/>
        <w:rPr>
          <w:rFonts w:ascii="Times New Roman" w:hAnsi="Times New Roman" w:cs="Times New Roman"/>
          <w:color w:val="222222"/>
          <w:sz w:val="24"/>
          <w:szCs w:val="24"/>
          <w:shd w:val="clear" w:color="auto" w:fill="FFFFFF"/>
        </w:rPr>
      </w:pPr>
      <w:r w:rsidRPr="004123DA">
        <w:rPr>
          <w:rFonts w:ascii="Times New Roman" w:hAnsi="Times New Roman" w:cs="Times New Roman"/>
          <w:color w:val="222222"/>
          <w:sz w:val="24"/>
          <w:szCs w:val="24"/>
          <w:shd w:val="clear" w:color="auto" w:fill="FFFFFF"/>
        </w:rPr>
        <w:t xml:space="preserve">van Dijck, G. (2018). ‘I Am Sorry (and Therefore Liable)’: On the Detrimental Effect of Non-Monetary Relief </w:t>
      </w:r>
      <w:proofErr w:type="gramStart"/>
      <w:r w:rsidRPr="004123DA">
        <w:rPr>
          <w:rFonts w:ascii="Times New Roman" w:hAnsi="Times New Roman" w:cs="Times New Roman"/>
          <w:color w:val="222222"/>
          <w:sz w:val="24"/>
          <w:szCs w:val="24"/>
          <w:shd w:val="clear" w:color="auto" w:fill="FFFFFF"/>
        </w:rPr>
        <w:t>In</w:t>
      </w:r>
      <w:proofErr w:type="gramEnd"/>
      <w:r w:rsidRPr="004123DA">
        <w:rPr>
          <w:rFonts w:ascii="Times New Roman" w:hAnsi="Times New Roman" w:cs="Times New Roman"/>
          <w:color w:val="222222"/>
          <w:sz w:val="24"/>
          <w:szCs w:val="24"/>
          <w:shd w:val="clear" w:color="auto" w:fill="FFFFFF"/>
        </w:rPr>
        <w:t xml:space="preserve"> Tort Law and Compensation Schemes. </w:t>
      </w:r>
      <w:r w:rsidRPr="004123DA">
        <w:rPr>
          <w:rFonts w:ascii="Times New Roman" w:hAnsi="Times New Roman" w:cs="Times New Roman"/>
          <w:i/>
          <w:iCs/>
          <w:color w:val="222222"/>
          <w:sz w:val="24"/>
          <w:szCs w:val="24"/>
          <w:shd w:val="clear" w:color="auto" w:fill="FFFFFF"/>
        </w:rPr>
        <w:t>Maastricht Faculty of Law Working Paper</w:t>
      </w:r>
      <w:r w:rsidRPr="004123DA">
        <w:rPr>
          <w:rFonts w:ascii="Times New Roman" w:hAnsi="Times New Roman" w:cs="Times New Roman"/>
          <w:color w:val="222222"/>
          <w:sz w:val="24"/>
          <w:szCs w:val="24"/>
          <w:shd w:val="clear" w:color="auto" w:fill="FFFFFF"/>
        </w:rPr>
        <w:t>, (2989486).</w:t>
      </w:r>
    </w:p>
    <w:p w14:paraId="05DBDDBB" w14:textId="69B1A607" w:rsidR="004123DA" w:rsidRPr="004123DA" w:rsidRDefault="000550B2" w:rsidP="004123DA">
      <w:pPr>
        <w:spacing w:after="0" w:line="480" w:lineRule="auto"/>
        <w:ind w:left="1080" w:hanging="720"/>
        <w:rPr>
          <w:rFonts w:ascii="Times New Roman" w:eastAsia="Arial Unicode MS" w:hAnsi="Times New Roman" w:cs="Times New Roman"/>
          <w:color w:val="000000"/>
          <w:sz w:val="24"/>
          <w:szCs w:val="24"/>
          <w:shd w:val="clear" w:color="auto" w:fill="FFFFFF"/>
        </w:rPr>
      </w:pPr>
      <w:r w:rsidRPr="004123DA">
        <w:rPr>
          <w:rFonts w:ascii="Times New Roman" w:hAnsi="Times New Roman" w:cs="Times New Roman"/>
          <w:color w:val="222222"/>
          <w:sz w:val="24"/>
          <w:szCs w:val="24"/>
          <w:shd w:val="clear" w:color="auto" w:fill="FFFFFF"/>
        </w:rPr>
        <w:t xml:space="preserve">Waldron, J. (2019). Rule by Law: A </w:t>
      </w:r>
      <w:proofErr w:type="gramStart"/>
      <w:r w:rsidRPr="004123DA">
        <w:rPr>
          <w:rFonts w:ascii="Times New Roman" w:hAnsi="Times New Roman" w:cs="Times New Roman"/>
          <w:color w:val="222222"/>
          <w:sz w:val="24"/>
          <w:szCs w:val="24"/>
          <w:shd w:val="clear" w:color="auto" w:fill="FFFFFF"/>
        </w:rPr>
        <w:t>Much Maligned</w:t>
      </w:r>
      <w:proofErr w:type="gramEnd"/>
      <w:r w:rsidRPr="004123DA">
        <w:rPr>
          <w:rFonts w:ascii="Times New Roman" w:hAnsi="Times New Roman" w:cs="Times New Roman"/>
          <w:color w:val="222222"/>
          <w:sz w:val="24"/>
          <w:szCs w:val="24"/>
          <w:shd w:val="clear" w:color="auto" w:fill="FFFFFF"/>
        </w:rPr>
        <w:t xml:space="preserve"> Preposition. </w:t>
      </w:r>
      <w:r w:rsidRPr="004123DA">
        <w:rPr>
          <w:rFonts w:ascii="Times New Roman" w:hAnsi="Times New Roman" w:cs="Times New Roman"/>
          <w:i/>
          <w:iCs/>
          <w:color w:val="222222"/>
          <w:sz w:val="24"/>
          <w:szCs w:val="24"/>
          <w:shd w:val="clear" w:color="auto" w:fill="FFFFFF"/>
        </w:rPr>
        <w:t>Available at SSRN 3378167</w:t>
      </w:r>
      <w:r w:rsidRPr="004123DA">
        <w:rPr>
          <w:rFonts w:ascii="Times New Roman" w:hAnsi="Times New Roman" w:cs="Times New Roman"/>
          <w:color w:val="222222"/>
          <w:sz w:val="24"/>
          <w:szCs w:val="24"/>
          <w:shd w:val="clear" w:color="auto" w:fill="FFFFFF"/>
        </w:rPr>
        <w:t>.</w:t>
      </w:r>
    </w:p>
    <w:p w14:paraId="320489EE" w14:textId="77777777" w:rsidR="008279FD" w:rsidRPr="004123DA" w:rsidRDefault="008279FD" w:rsidP="004123DA">
      <w:pPr>
        <w:spacing w:after="0" w:line="480" w:lineRule="auto"/>
        <w:rPr>
          <w:rFonts w:ascii="Times New Roman" w:hAnsi="Times New Roman" w:cs="Times New Roman"/>
          <w:sz w:val="24"/>
          <w:szCs w:val="24"/>
        </w:rPr>
      </w:pPr>
    </w:p>
    <w:sectPr w:rsidR="008279FD" w:rsidRPr="004123DA" w:rsidSect="004123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12706" w14:textId="77777777" w:rsidR="0040195B" w:rsidRDefault="0040195B">
      <w:pPr>
        <w:spacing w:after="0" w:line="240" w:lineRule="auto"/>
      </w:pPr>
      <w:r>
        <w:separator/>
      </w:r>
    </w:p>
  </w:endnote>
  <w:endnote w:type="continuationSeparator" w:id="0">
    <w:p w14:paraId="58A1C5F5" w14:textId="77777777" w:rsidR="0040195B" w:rsidRDefault="00401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A4A66" w14:textId="77777777" w:rsidR="0040195B" w:rsidRDefault="0040195B">
      <w:pPr>
        <w:spacing w:after="0" w:line="240" w:lineRule="auto"/>
      </w:pPr>
      <w:r>
        <w:separator/>
      </w:r>
    </w:p>
  </w:footnote>
  <w:footnote w:type="continuationSeparator" w:id="0">
    <w:p w14:paraId="5C04CFE1" w14:textId="77777777" w:rsidR="0040195B" w:rsidRDefault="00401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25741586"/>
      <w:docPartObj>
        <w:docPartGallery w:val="Page Numbers (Top of Page)"/>
        <w:docPartUnique/>
      </w:docPartObj>
    </w:sdtPr>
    <w:sdtEndPr>
      <w:rPr>
        <w:noProof/>
      </w:rPr>
    </w:sdtEndPr>
    <w:sdtContent>
      <w:p w14:paraId="469D7CF5" w14:textId="4556038C" w:rsidR="004123DA" w:rsidRPr="004123DA" w:rsidRDefault="00691AA9">
        <w:pPr>
          <w:pStyle w:val="Header"/>
          <w:jc w:val="right"/>
          <w:rPr>
            <w:rFonts w:ascii="Times New Roman" w:hAnsi="Times New Roman" w:cs="Times New Roman"/>
            <w:sz w:val="24"/>
            <w:szCs w:val="24"/>
          </w:rPr>
        </w:pPr>
        <w:r w:rsidRPr="004123DA">
          <w:rPr>
            <w:rFonts w:ascii="Times New Roman" w:hAnsi="Times New Roman" w:cs="Times New Roman"/>
            <w:sz w:val="24"/>
            <w:szCs w:val="24"/>
          </w:rPr>
          <w:t xml:space="preserve">RESPONSES TO LAW QUESTIONS </w:t>
        </w:r>
        <w:r w:rsidRPr="004123DA">
          <w:rPr>
            <w:rFonts w:ascii="Times New Roman" w:hAnsi="Times New Roman" w:cs="Times New Roman"/>
            <w:sz w:val="24"/>
            <w:szCs w:val="24"/>
          </w:rPr>
          <w:tab/>
        </w:r>
        <w:r w:rsidRPr="004123DA">
          <w:rPr>
            <w:rFonts w:ascii="Times New Roman" w:hAnsi="Times New Roman" w:cs="Times New Roman"/>
            <w:sz w:val="24"/>
            <w:szCs w:val="24"/>
          </w:rPr>
          <w:tab/>
        </w:r>
        <w:r w:rsidRPr="004123DA">
          <w:rPr>
            <w:rFonts w:ascii="Times New Roman" w:hAnsi="Times New Roman" w:cs="Times New Roman"/>
            <w:sz w:val="24"/>
            <w:szCs w:val="24"/>
          </w:rPr>
          <w:fldChar w:fldCharType="begin"/>
        </w:r>
        <w:r w:rsidRPr="004123DA">
          <w:rPr>
            <w:rFonts w:ascii="Times New Roman" w:hAnsi="Times New Roman" w:cs="Times New Roman"/>
            <w:sz w:val="24"/>
            <w:szCs w:val="24"/>
          </w:rPr>
          <w:instrText xml:space="preserve"> PAGE   \* MERGEFORMAT </w:instrText>
        </w:r>
        <w:r w:rsidRPr="004123DA">
          <w:rPr>
            <w:rFonts w:ascii="Times New Roman" w:hAnsi="Times New Roman" w:cs="Times New Roman"/>
            <w:sz w:val="24"/>
            <w:szCs w:val="24"/>
          </w:rPr>
          <w:fldChar w:fldCharType="separate"/>
        </w:r>
        <w:r w:rsidRPr="004123DA">
          <w:rPr>
            <w:rFonts w:ascii="Times New Roman" w:hAnsi="Times New Roman" w:cs="Times New Roman"/>
            <w:noProof/>
            <w:sz w:val="24"/>
            <w:szCs w:val="24"/>
          </w:rPr>
          <w:t>2</w:t>
        </w:r>
        <w:r w:rsidRPr="004123DA">
          <w:rPr>
            <w:rFonts w:ascii="Times New Roman" w:hAnsi="Times New Roman" w:cs="Times New Roman"/>
            <w:noProof/>
            <w:sz w:val="24"/>
            <w:szCs w:val="24"/>
          </w:rPr>
          <w:fldChar w:fldCharType="end"/>
        </w:r>
      </w:p>
    </w:sdtContent>
  </w:sdt>
  <w:p w14:paraId="75D0CC09" w14:textId="77777777" w:rsidR="004123DA" w:rsidRDefault="0041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EF484" w14:textId="3BB4C5DE" w:rsidR="004123DA" w:rsidRDefault="00691AA9" w:rsidP="004123DA">
    <w:pPr>
      <w:spacing w:after="0" w:line="480" w:lineRule="auto"/>
      <w:contextualSpacing/>
    </w:pPr>
    <w:r w:rsidRPr="004123DA">
      <w:rPr>
        <w:rFonts w:ascii="Times New Roman" w:hAnsi="Times New Roman" w:cs="Times New Roman"/>
        <w:sz w:val="24"/>
        <w:szCs w:val="24"/>
      </w:rPr>
      <w:t>Running Head: RESPONSES TO LAW QUESTIONS</w:t>
    </w:r>
    <w:r w:rsidRPr="004123DA">
      <w:rPr>
        <w:rFonts w:ascii="Times New Roman" w:hAnsi="Times New Roman" w:cs="Times New Roman"/>
        <w:sz w:val="24"/>
        <w:szCs w:val="24"/>
      </w:rPr>
      <w:tab/>
    </w:r>
    <w:r w:rsidRPr="004123DA">
      <w:rPr>
        <w:rFonts w:ascii="Times New Roman" w:hAnsi="Times New Roman" w:cs="Times New Roman"/>
        <w:sz w:val="24"/>
        <w:szCs w:val="24"/>
      </w:rPr>
      <w:tab/>
    </w:r>
    <w:r w:rsidRPr="004123DA">
      <w:rPr>
        <w:rFonts w:ascii="Times New Roman" w:hAnsi="Times New Roman" w:cs="Times New Roman"/>
        <w:sz w:val="24"/>
        <w:szCs w:val="24"/>
      </w:rPr>
      <w:tab/>
    </w:r>
    <w:r w:rsidRPr="004123DA">
      <w:rPr>
        <w:rFonts w:ascii="Times New Roman" w:hAnsi="Times New Roman" w:cs="Times New Roman"/>
        <w:sz w:val="24"/>
        <w:szCs w:val="24"/>
      </w:rPr>
      <w:tab/>
    </w:r>
    <w:r w:rsidRPr="004123D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2633E"/>
    <w:multiLevelType w:val="hybridMultilevel"/>
    <w:tmpl w:val="9AA8A4D8"/>
    <w:lvl w:ilvl="0" w:tplc="7E422204">
      <w:start w:val="1"/>
      <w:numFmt w:val="decimal"/>
      <w:lvlText w:val="%1."/>
      <w:lvlJc w:val="left"/>
      <w:pPr>
        <w:ind w:left="360" w:hanging="360"/>
      </w:pPr>
      <w:rPr>
        <w:rFonts w:hint="default"/>
      </w:rPr>
    </w:lvl>
    <w:lvl w:ilvl="1" w:tplc="516C3740" w:tentative="1">
      <w:start w:val="1"/>
      <w:numFmt w:val="lowerLetter"/>
      <w:lvlText w:val="%2."/>
      <w:lvlJc w:val="left"/>
      <w:pPr>
        <w:ind w:left="1080" w:hanging="360"/>
      </w:pPr>
    </w:lvl>
    <w:lvl w:ilvl="2" w:tplc="25743646" w:tentative="1">
      <w:start w:val="1"/>
      <w:numFmt w:val="lowerRoman"/>
      <w:lvlText w:val="%3."/>
      <w:lvlJc w:val="right"/>
      <w:pPr>
        <w:ind w:left="1800" w:hanging="180"/>
      </w:pPr>
    </w:lvl>
    <w:lvl w:ilvl="3" w:tplc="67ACB296" w:tentative="1">
      <w:start w:val="1"/>
      <w:numFmt w:val="decimal"/>
      <w:lvlText w:val="%4."/>
      <w:lvlJc w:val="left"/>
      <w:pPr>
        <w:ind w:left="2520" w:hanging="360"/>
      </w:pPr>
    </w:lvl>
    <w:lvl w:ilvl="4" w:tplc="D3CA9BCC" w:tentative="1">
      <w:start w:val="1"/>
      <w:numFmt w:val="lowerLetter"/>
      <w:lvlText w:val="%5."/>
      <w:lvlJc w:val="left"/>
      <w:pPr>
        <w:ind w:left="3240" w:hanging="360"/>
      </w:pPr>
    </w:lvl>
    <w:lvl w:ilvl="5" w:tplc="821CEB5C" w:tentative="1">
      <w:start w:val="1"/>
      <w:numFmt w:val="lowerRoman"/>
      <w:lvlText w:val="%6."/>
      <w:lvlJc w:val="right"/>
      <w:pPr>
        <w:ind w:left="3960" w:hanging="180"/>
      </w:pPr>
    </w:lvl>
    <w:lvl w:ilvl="6" w:tplc="E896711A" w:tentative="1">
      <w:start w:val="1"/>
      <w:numFmt w:val="decimal"/>
      <w:lvlText w:val="%7."/>
      <w:lvlJc w:val="left"/>
      <w:pPr>
        <w:ind w:left="4680" w:hanging="360"/>
      </w:pPr>
    </w:lvl>
    <w:lvl w:ilvl="7" w:tplc="4DF6495C" w:tentative="1">
      <w:start w:val="1"/>
      <w:numFmt w:val="lowerLetter"/>
      <w:lvlText w:val="%8."/>
      <w:lvlJc w:val="left"/>
      <w:pPr>
        <w:ind w:left="5400" w:hanging="360"/>
      </w:pPr>
    </w:lvl>
    <w:lvl w:ilvl="8" w:tplc="A7283048" w:tentative="1">
      <w:start w:val="1"/>
      <w:numFmt w:val="lowerRoman"/>
      <w:lvlText w:val="%9."/>
      <w:lvlJc w:val="right"/>
      <w:pPr>
        <w:ind w:left="6120" w:hanging="180"/>
      </w:pPr>
    </w:lvl>
  </w:abstractNum>
  <w:abstractNum w:abstractNumId="1" w15:restartNumberingAfterBreak="0">
    <w:nsid w:val="096345E3"/>
    <w:multiLevelType w:val="hybridMultilevel"/>
    <w:tmpl w:val="A0F07EE8"/>
    <w:lvl w:ilvl="0" w:tplc="F99C56B0">
      <w:start w:val="1"/>
      <w:numFmt w:val="decimal"/>
      <w:lvlText w:val="%1."/>
      <w:lvlJc w:val="left"/>
      <w:pPr>
        <w:ind w:left="720" w:hanging="360"/>
      </w:pPr>
      <w:rPr>
        <w:rFonts w:hint="default"/>
      </w:rPr>
    </w:lvl>
    <w:lvl w:ilvl="1" w:tplc="22B494EE" w:tentative="1">
      <w:start w:val="1"/>
      <w:numFmt w:val="lowerLetter"/>
      <w:lvlText w:val="%2."/>
      <w:lvlJc w:val="left"/>
      <w:pPr>
        <w:ind w:left="1440" w:hanging="360"/>
      </w:pPr>
    </w:lvl>
    <w:lvl w:ilvl="2" w:tplc="08F604D8" w:tentative="1">
      <w:start w:val="1"/>
      <w:numFmt w:val="lowerRoman"/>
      <w:lvlText w:val="%3."/>
      <w:lvlJc w:val="right"/>
      <w:pPr>
        <w:ind w:left="2160" w:hanging="180"/>
      </w:pPr>
    </w:lvl>
    <w:lvl w:ilvl="3" w:tplc="26308C02" w:tentative="1">
      <w:start w:val="1"/>
      <w:numFmt w:val="decimal"/>
      <w:lvlText w:val="%4."/>
      <w:lvlJc w:val="left"/>
      <w:pPr>
        <w:ind w:left="2880" w:hanging="360"/>
      </w:pPr>
    </w:lvl>
    <w:lvl w:ilvl="4" w:tplc="A55C377A" w:tentative="1">
      <w:start w:val="1"/>
      <w:numFmt w:val="lowerLetter"/>
      <w:lvlText w:val="%5."/>
      <w:lvlJc w:val="left"/>
      <w:pPr>
        <w:ind w:left="3600" w:hanging="360"/>
      </w:pPr>
    </w:lvl>
    <w:lvl w:ilvl="5" w:tplc="A7E8F80C" w:tentative="1">
      <w:start w:val="1"/>
      <w:numFmt w:val="lowerRoman"/>
      <w:lvlText w:val="%6."/>
      <w:lvlJc w:val="right"/>
      <w:pPr>
        <w:ind w:left="4320" w:hanging="180"/>
      </w:pPr>
    </w:lvl>
    <w:lvl w:ilvl="6" w:tplc="9D58A1DC" w:tentative="1">
      <w:start w:val="1"/>
      <w:numFmt w:val="decimal"/>
      <w:lvlText w:val="%7."/>
      <w:lvlJc w:val="left"/>
      <w:pPr>
        <w:ind w:left="5040" w:hanging="360"/>
      </w:pPr>
    </w:lvl>
    <w:lvl w:ilvl="7" w:tplc="0A98B3D4" w:tentative="1">
      <w:start w:val="1"/>
      <w:numFmt w:val="lowerLetter"/>
      <w:lvlText w:val="%8."/>
      <w:lvlJc w:val="left"/>
      <w:pPr>
        <w:ind w:left="5760" w:hanging="360"/>
      </w:pPr>
    </w:lvl>
    <w:lvl w:ilvl="8" w:tplc="5C50F340" w:tentative="1">
      <w:start w:val="1"/>
      <w:numFmt w:val="lowerRoman"/>
      <w:lvlText w:val="%9."/>
      <w:lvlJc w:val="right"/>
      <w:pPr>
        <w:ind w:left="6480" w:hanging="180"/>
      </w:pPr>
    </w:lvl>
  </w:abstractNum>
  <w:abstractNum w:abstractNumId="2" w15:restartNumberingAfterBreak="0">
    <w:nsid w:val="104142D3"/>
    <w:multiLevelType w:val="hybridMultilevel"/>
    <w:tmpl w:val="1688C9E6"/>
    <w:lvl w:ilvl="0" w:tplc="61C0815C">
      <w:start w:val="1"/>
      <w:numFmt w:val="decimal"/>
      <w:lvlText w:val="%1."/>
      <w:lvlJc w:val="left"/>
      <w:pPr>
        <w:ind w:left="720" w:hanging="360"/>
      </w:pPr>
      <w:rPr>
        <w:rFonts w:hint="default"/>
      </w:rPr>
    </w:lvl>
    <w:lvl w:ilvl="1" w:tplc="3A681A5C" w:tentative="1">
      <w:start w:val="1"/>
      <w:numFmt w:val="lowerLetter"/>
      <w:lvlText w:val="%2."/>
      <w:lvlJc w:val="left"/>
      <w:pPr>
        <w:ind w:left="1440" w:hanging="360"/>
      </w:pPr>
    </w:lvl>
    <w:lvl w:ilvl="2" w:tplc="B2168A80" w:tentative="1">
      <w:start w:val="1"/>
      <w:numFmt w:val="lowerRoman"/>
      <w:lvlText w:val="%3."/>
      <w:lvlJc w:val="right"/>
      <w:pPr>
        <w:ind w:left="2160" w:hanging="180"/>
      </w:pPr>
    </w:lvl>
    <w:lvl w:ilvl="3" w:tplc="F8CEBC1C" w:tentative="1">
      <w:start w:val="1"/>
      <w:numFmt w:val="decimal"/>
      <w:lvlText w:val="%4."/>
      <w:lvlJc w:val="left"/>
      <w:pPr>
        <w:ind w:left="2880" w:hanging="360"/>
      </w:pPr>
    </w:lvl>
    <w:lvl w:ilvl="4" w:tplc="0DD8748A" w:tentative="1">
      <w:start w:val="1"/>
      <w:numFmt w:val="lowerLetter"/>
      <w:lvlText w:val="%5."/>
      <w:lvlJc w:val="left"/>
      <w:pPr>
        <w:ind w:left="3600" w:hanging="360"/>
      </w:pPr>
    </w:lvl>
    <w:lvl w:ilvl="5" w:tplc="6448997E" w:tentative="1">
      <w:start w:val="1"/>
      <w:numFmt w:val="lowerRoman"/>
      <w:lvlText w:val="%6."/>
      <w:lvlJc w:val="right"/>
      <w:pPr>
        <w:ind w:left="4320" w:hanging="180"/>
      </w:pPr>
    </w:lvl>
    <w:lvl w:ilvl="6" w:tplc="0374C3EE" w:tentative="1">
      <w:start w:val="1"/>
      <w:numFmt w:val="decimal"/>
      <w:lvlText w:val="%7."/>
      <w:lvlJc w:val="left"/>
      <w:pPr>
        <w:ind w:left="5040" w:hanging="360"/>
      </w:pPr>
    </w:lvl>
    <w:lvl w:ilvl="7" w:tplc="111EF810" w:tentative="1">
      <w:start w:val="1"/>
      <w:numFmt w:val="lowerLetter"/>
      <w:lvlText w:val="%8."/>
      <w:lvlJc w:val="left"/>
      <w:pPr>
        <w:ind w:left="5760" w:hanging="360"/>
      </w:pPr>
    </w:lvl>
    <w:lvl w:ilvl="8" w:tplc="1D2C8010" w:tentative="1">
      <w:start w:val="1"/>
      <w:numFmt w:val="lowerRoman"/>
      <w:lvlText w:val="%9."/>
      <w:lvlJc w:val="right"/>
      <w:pPr>
        <w:ind w:left="6480" w:hanging="180"/>
      </w:pPr>
    </w:lvl>
  </w:abstractNum>
  <w:abstractNum w:abstractNumId="3" w15:restartNumberingAfterBreak="0">
    <w:nsid w:val="386125B8"/>
    <w:multiLevelType w:val="hybridMultilevel"/>
    <w:tmpl w:val="0A6AFBFE"/>
    <w:lvl w:ilvl="0" w:tplc="BC00D466">
      <w:start w:val="1"/>
      <w:numFmt w:val="decimal"/>
      <w:lvlText w:val="%1."/>
      <w:lvlJc w:val="left"/>
      <w:pPr>
        <w:ind w:left="720" w:hanging="360"/>
      </w:pPr>
      <w:rPr>
        <w:rFonts w:hint="default"/>
      </w:rPr>
    </w:lvl>
    <w:lvl w:ilvl="1" w:tplc="DF5EBAF0" w:tentative="1">
      <w:start w:val="1"/>
      <w:numFmt w:val="lowerLetter"/>
      <w:lvlText w:val="%2."/>
      <w:lvlJc w:val="left"/>
      <w:pPr>
        <w:ind w:left="1440" w:hanging="360"/>
      </w:pPr>
    </w:lvl>
    <w:lvl w:ilvl="2" w:tplc="2A205DD6" w:tentative="1">
      <w:start w:val="1"/>
      <w:numFmt w:val="lowerRoman"/>
      <w:lvlText w:val="%3."/>
      <w:lvlJc w:val="right"/>
      <w:pPr>
        <w:ind w:left="2160" w:hanging="180"/>
      </w:pPr>
    </w:lvl>
    <w:lvl w:ilvl="3" w:tplc="4D6A2C60" w:tentative="1">
      <w:start w:val="1"/>
      <w:numFmt w:val="decimal"/>
      <w:lvlText w:val="%4."/>
      <w:lvlJc w:val="left"/>
      <w:pPr>
        <w:ind w:left="2880" w:hanging="360"/>
      </w:pPr>
    </w:lvl>
    <w:lvl w:ilvl="4" w:tplc="D7A42FBA" w:tentative="1">
      <w:start w:val="1"/>
      <w:numFmt w:val="lowerLetter"/>
      <w:lvlText w:val="%5."/>
      <w:lvlJc w:val="left"/>
      <w:pPr>
        <w:ind w:left="3600" w:hanging="360"/>
      </w:pPr>
    </w:lvl>
    <w:lvl w:ilvl="5" w:tplc="3C5AD5CC" w:tentative="1">
      <w:start w:val="1"/>
      <w:numFmt w:val="lowerRoman"/>
      <w:lvlText w:val="%6."/>
      <w:lvlJc w:val="right"/>
      <w:pPr>
        <w:ind w:left="4320" w:hanging="180"/>
      </w:pPr>
    </w:lvl>
    <w:lvl w:ilvl="6" w:tplc="6C3826BC" w:tentative="1">
      <w:start w:val="1"/>
      <w:numFmt w:val="decimal"/>
      <w:lvlText w:val="%7."/>
      <w:lvlJc w:val="left"/>
      <w:pPr>
        <w:ind w:left="5040" w:hanging="360"/>
      </w:pPr>
    </w:lvl>
    <w:lvl w:ilvl="7" w:tplc="65BAF568" w:tentative="1">
      <w:start w:val="1"/>
      <w:numFmt w:val="lowerLetter"/>
      <w:lvlText w:val="%8."/>
      <w:lvlJc w:val="left"/>
      <w:pPr>
        <w:ind w:left="5760" w:hanging="360"/>
      </w:pPr>
    </w:lvl>
    <w:lvl w:ilvl="8" w:tplc="56649FA6"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EE"/>
    <w:rsid w:val="00050304"/>
    <w:rsid w:val="000550B2"/>
    <w:rsid w:val="00057A37"/>
    <w:rsid w:val="00081BAC"/>
    <w:rsid w:val="00081F7D"/>
    <w:rsid w:val="000E1718"/>
    <w:rsid w:val="001342F2"/>
    <w:rsid w:val="001405D8"/>
    <w:rsid w:val="00153A9F"/>
    <w:rsid w:val="00214CC4"/>
    <w:rsid w:val="00243517"/>
    <w:rsid w:val="00256DB8"/>
    <w:rsid w:val="00381031"/>
    <w:rsid w:val="003E7B04"/>
    <w:rsid w:val="0040195B"/>
    <w:rsid w:val="004123DA"/>
    <w:rsid w:val="00525777"/>
    <w:rsid w:val="005351B9"/>
    <w:rsid w:val="00691AA9"/>
    <w:rsid w:val="00757580"/>
    <w:rsid w:val="00784BEC"/>
    <w:rsid w:val="007F29A0"/>
    <w:rsid w:val="008279FD"/>
    <w:rsid w:val="0090616C"/>
    <w:rsid w:val="00932FA7"/>
    <w:rsid w:val="00AB3F3B"/>
    <w:rsid w:val="00B42280"/>
    <w:rsid w:val="00B61F81"/>
    <w:rsid w:val="00BD73BA"/>
    <w:rsid w:val="00C17D7E"/>
    <w:rsid w:val="00C833BA"/>
    <w:rsid w:val="00CB0CCE"/>
    <w:rsid w:val="00CC2AFE"/>
    <w:rsid w:val="00CF0A04"/>
    <w:rsid w:val="00D268A2"/>
    <w:rsid w:val="00D61F24"/>
    <w:rsid w:val="00DD76A1"/>
    <w:rsid w:val="00E13178"/>
    <w:rsid w:val="00E34325"/>
    <w:rsid w:val="00EE0054"/>
    <w:rsid w:val="00F82BDB"/>
    <w:rsid w:val="00F875EE"/>
    <w:rsid w:val="00FB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3C3E"/>
  <w15:docId w15:val="{E245187A-39E6-4545-9F57-8340DB7D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9FD"/>
    <w:pPr>
      <w:ind w:left="720"/>
      <w:contextualSpacing/>
    </w:pPr>
  </w:style>
  <w:style w:type="paragraph" w:styleId="Header">
    <w:name w:val="header"/>
    <w:basedOn w:val="Normal"/>
    <w:link w:val="HeaderChar"/>
    <w:uiPriority w:val="99"/>
    <w:unhideWhenUsed/>
    <w:rsid w:val="00412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3DA"/>
  </w:style>
  <w:style w:type="paragraph" w:styleId="Footer">
    <w:name w:val="footer"/>
    <w:basedOn w:val="Normal"/>
    <w:link w:val="FooterChar"/>
    <w:uiPriority w:val="99"/>
    <w:unhideWhenUsed/>
    <w:rsid w:val="00412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michael</cp:lastModifiedBy>
  <cp:revision>15</cp:revision>
  <dcterms:created xsi:type="dcterms:W3CDTF">2020-05-12T11:43:00Z</dcterms:created>
  <dcterms:modified xsi:type="dcterms:W3CDTF">2020-05-12T13:09:00Z</dcterms:modified>
</cp:coreProperties>
</file>